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75635" w14:textId="71D1B65D" w:rsidR="00AA24EB" w:rsidRDefault="00AA24EB" w:rsidP="00E578FB">
      <w:pPr>
        <w:jc w:val="center"/>
        <w:rPr>
          <w:b/>
          <w:sz w:val="28"/>
          <w:u w:val="single"/>
        </w:rPr>
      </w:pPr>
      <w:r w:rsidRPr="0071231A">
        <w:rPr>
          <w:b/>
          <w:sz w:val="28"/>
          <w:u w:val="single"/>
        </w:rPr>
        <w:t xml:space="preserve">Shtojca </w:t>
      </w:r>
      <w:r w:rsidR="004803D8" w:rsidRPr="0071231A">
        <w:rPr>
          <w:b/>
          <w:sz w:val="28"/>
          <w:u w:val="single"/>
        </w:rPr>
        <w:t xml:space="preserve">1 </w:t>
      </w:r>
      <w:r w:rsidR="00E578FB" w:rsidRPr="0071231A">
        <w:rPr>
          <w:b/>
          <w:sz w:val="28"/>
          <w:u w:val="single"/>
        </w:rPr>
        <w:t xml:space="preserve">- </w:t>
      </w:r>
      <w:r w:rsidRPr="0071231A">
        <w:rPr>
          <w:b/>
          <w:sz w:val="28"/>
          <w:u w:val="single"/>
        </w:rPr>
        <w:t>Elementet kryesore të procedurës për financim të projekteve të shoqatave, individëv</w:t>
      </w:r>
      <w:r w:rsidR="0071231A">
        <w:rPr>
          <w:b/>
          <w:sz w:val="28"/>
          <w:u w:val="single"/>
        </w:rPr>
        <w:t>e e subjekteve tjera nga Lugina</w:t>
      </w:r>
      <w:r w:rsidRPr="0071231A">
        <w:rPr>
          <w:b/>
          <w:sz w:val="28"/>
          <w:u w:val="single"/>
        </w:rPr>
        <w:t xml:space="preserve"> </w:t>
      </w:r>
    </w:p>
    <w:p w14:paraId="0FEE9DA0" w14:textId="77777777" w:rsidR="00AE30E1" w:rsidRPr="0071231A" w:rsidRDefault="00AE30E1" w:rsidP="00E578FB">
      <w:pPr>
        <w:jc w:val="center"/>
        <w:rPr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864"/>
        <w:gridCol w:w="5988"/>
      </w:tblGrid>
      <w:tr w:rsidR="00CA6065" w:rsidRPr="0071231A" w14:paraId="2A1665A2" w14:textId="77777777" w:rsidTr="00AE30E1">
        <w:tc>
          <w:tcPr>
            <w:tcW w:w="498" w:type="dxa"/>
            <w:shd w:val="clear" w:color="auto" w:fill="BFBFBF"/>
          </w:tcPr>
          <w:p w14:paraId="5069E237" w14:textId="77777777" w:rsidR="00CA6065" w:rsidRPr="0071231A" w:rsidRDefault="00CA6065" w:rsidP="00AE43AD">
            <w:pPr>
              <w:jc w:val="center"/>
              <w:rPr>
                <w:b/>
              </w:rPr>
            </w:pPr>
          </w:p>
        </w:tc>
        <w:tc>
          <w:tcPr>
            <w:tcW w:w="2864" w:type="dxa"/>
            <w:shd w:val="clear" w:color="auto" w:fill="BFBFBF"/>
            <w:vAlign w:val="center"/>
          </w:tcPr>
          <w:p w14:paraId="09183139" w14:textId="77777777" w:rsidR="00CA6065" w:rsidRPr="0071231A" w:rsidRDefault="00CA6065" w:rsidP="00AE43AD">
            <w:pPr>
              <w:jc w:val="center"/>
              <w:rPr>
                <w:b/>
              </w:rPr>
            </w:pPr>
            <w:r w:rsidRPr="0071231A">
              <w:rPr>
                <w:b/>
              </w:rPr>
              <w:t>Elementet Kryesore:</w:t>
            </w:r>
          </w:p>
        </w:tc>
        <w:tc>
          <w:tcPr>
            <w:tcW w:w="5988" w:type="dxa"/>
            <w:shd w:val="clear" w:color="auto" w:fill="BFBFBF"/>
          </w:tcPr>
          <w:p w14:paraId="00251800" w14:textId="77777777" w:rsidR="00CA6065" w:rsidRPr="0071231A" w:rsidRDefault="00CA6065" w:rsidP="00CA6065">
            <w:pPr>
              <w:jc w:val="center"/>
              <w:rPr>
                <w:b/>
              </w:rPr>
            </w:pPr>
            <w:r w:rsidRPr="0071231A">
              <w:rPr>
                <w:b/>
              </w:rPr>
              <w:t>Përshkrimi dhe modalitete</w:t>
            </w:r>
            <w:r w:rsidR="0007281F" w:rsidRPr="0071231A">
              <w:rPr>
                <w:b/>
              </w:rPr>
              <w:t>t</w:t>
            </w:r>
            <w:r w:rsidRPr="0071231A">
              <w:rPr>
                <w:b/>
              </w:rPr>
              <w:t xml:space="preserve"> e zbatimit:</w:t>
            </w:r>
          </w:p>
        </w:tc>
      </w:tr>
      <w:tr w:rsidR="00AD78F1" w:rsidRPr="0071231A" w14:paraId="4DEDEF86" w14:textId="77777777" w:rsidTr="00AE30E1">
        <w:tc>
          <w:tcPr>
            <w:tcW w:w="498" w:type="dxa"/>
          </w:tcPr>
          <w:p w14:paraId="3845C315" w14:textId="08E12887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1</w:t>
            </w:r>
            <w:r w:rsidR="0007651E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6759CC93" w14:textId="77777777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Konteksti</w:t>
            </w:r>
          </w:p>
        </w:tc>
        <w:tc>
          <w:tcPr>
            <w:tcW w:w="5988" w:type="dxa"/>
            <w:shd w:val="clear" w:color="auto" w:fill="auto"/>
          </w:tcPr>
          <w:p w14:paraId="7B0A1C55" w14:textId="378A2E0C" w:rsidR="00862B70" w:rsidRPr="0071231A" w:rsidRDefault="007B2FAE" w:rsidP="00F82ABC">
            <w:pPr>
              <w:spacing w:after="200" w:line="276" w:lineRule="auto"/>
              <w:jc w:val="both"/>
            </w:pPr>
            <w:r w:rsidRPr="0071231A">
              <w:t xml:space="preserve">Banorët e Luginës së Preshevës, </w:t>
            </w:r>
            <w:proofErr w:type="spellStart"/>
            <w:r w:rsidRPr="0071231A">
              <w:t>Medvegjës</w:t>
            </w:r>
            <w:proofErr w:type="spellEnd"/>
            <w:r w:rsidRPr="0071231A">
              <w:t xml:space="preserve"> dhe </w:t>
            </w:r>
            <w:proofErr w:type="spellStart"/>
            <w:r w:rsidRPr="0071231A">
              <w:t>Bujanocit</w:t>
            </w:r>
            <w:proofErr w:type="spellEnd"/>
            <w:r w:rsidRPr="0071231A">
              <w:t xml:space="preserve"> janë të diskriminuar nga shteti serb</w:t>
            </w:r>
            <w:r w:rsidR="00AA2D4F" w:rsidRPr="0071231A">
              <w:t xml:space="preserve"> si në aspekt të mbështetjes financiare ashtu sa i përket të drejtave dhe ruajtjes së demografisë  dhe trashëgimisë kulturore</w:t>
            </w:r>
            <w:r w:rsidRPr="0071231A">
              <w:t xml:space="preserve">. </w:t>
            </w:r>
            <w:r w:rsidR="00862B70" w:rsidRPr="0071231A">
              <w:t>Qeveria e Kosovës përkrah kauzën e shqiptarëve të kësaj ane për mbro</w:t>
            </w:r>
            <w:r w:rsidR="00AA2D4F" w:rsidRPr="0071231A">
              <w:t xml:space="preserve">jtje të </w:t>
            </w:r>
            <w:proofErr w:type="spellStart"/>
            <w:r w:rsidR="00AA2D4F" w:rsidRPr="0071231A">
              <w:t>të</w:t>
            </w:r>
            <w:proofErr w:type="spellEnd"/>
            <w:r w:rsidR="00AA2D4F" w:rsidRPr="0071231A">
              <w:t xml:space="preserve"> drejta</w:t>
            </w:r>
            <w:r w:rsidR="00862B70" w:rsidRPr="0071231A">
              <w:t xml:space="preserve">ve të pakicës shqiptare në Serbi. </w:t>
            </w:r>
            <w:r w:rsidR="00AA2D4F" w:rsidRPr="0071231A">
              <w:t>Me qëllim për të ndalur eksodin</w:t>
            </w:r>
            <w:r w:rsidR="008B5C12" w:rsidRPr="0071231A">
              <w:t xml:space="preserve"> dhe promovuar identitetin etnik</w:t>
            </w:r>
            <w:r w:rsidR="00AA2D4F" w:rsidRPr="0071231A">
              <w:t>, s</w:t>
            </w:r>
            <w:r w:rsidR="00862B70" w:rsidRPr="0071231A">
              <w:t xml:space="preserve">hqiptarët e Luginës </w:t>
            </w:r>
            <w:r w:rsidRPr="0071231A">
              <w:t>kan</w:t>
            </w:r>
            <w:r w:rsidR="00AA2D4F" w:rsidRPr="0071231A">
              <w:t>ë</w:t>
            </w:r>
            <w:r w:rsidRPr="0071231A">
              <w:t xml:space="preserve"> nevojë për përkrahje financiare që mbështet aktivitete</w:t>
            </w:r>
            <w:r w:rsidR="00F82ABC">
              <w:t xml:space="preserve"> e projekte </w:t>
            </w:r>
            <w:r w:rsidRPr="0071231A">
              <w:t xml:space="preserve">të cilat mbrojnë dhe promovojnë </w:t>
            </w:r>
            <w:r w:rsidR="00862B70" w:rsidRPr="0071231A">
              <w:t xml:space="preserve">identitetin, </w:t>
            </w:r>
            <w:r w:rsidRPr="0071231A">
              <w:t>kulturën, artin, gjuhën dhe trashëgiminë kulturore . Mundësitë financiare nga komunat vendore janë të limituara prandaj Qeveria e Kosovës ka vendos</w:t>
            </w:r>
            <w:r w:rsidR="00AA2D4F" w:rsidRPr="0071231A">
              <w:t>ur</w:t>
            </w:r>
            <w:r w:rsidRPr="0071231A">
              <w:t xml:space="preserve"> ti përkrah përmes një fondi të veçantë </w:t>
            </w:r>
            <w:r w:rsidR="00862B70" w:rsidRPr="0071231A">
              <w:t xml:space="preserve">të </w:t>
            </w:r>
            <w:r w:rsidRPr="0071231A">
              <w:t>dedikuar enkas për këtë anë.</w:t>
            </w:r>
          </w:p>
        </w:tc>
      </w:tr>
      <w:tr w:rsidR="00AD78F1" w:rsidRPr="0071231A" w14:paraId="5ACBB5C7" w14:textId="77777777" w:rsidTr="00AE30E1">
        <w:tc>
          <w:tcPr>
            <w:tcW w:w="498" w:type="dxa"/>
          </w:tcPr>
          <w:p w14:paraId="3C0AD141" w14:textId="40DC68F5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2</w:t>
            </w:r>
            <w:r w:rsidR="0007651E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060A81D5" w14:textId="77777777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Qëllimi i përgjithshëm</w:t>
            </w:r>
          </w:p>
        </w:tc>
        <w:tc>
          <w:tcPr>
            <w:tcW w:w="5988" w:type="dxa"/>
            <w:shd w:val="clear" w:color="auto" w:fill="auto"/>
          </w:tcPr>
          <w:p w14:paraId="5C238C56" w14:textId="75D46F43" w:rsidR="00AD78F1" w:rsidRPr="0071231A" w:rsidRDefault="00523171" w:rsidP="00AA2D4F">
            <w:pPr>
              <w:spacing w:after="200" w:line="276" w:lineRule="auto"/>
            </w:pPr>
            <w:r w:rsidRPr="0071231A">
              <w:t>Qëllimi i përgjithshëm është mbro</w:t>
            </w:r>
            <w:r w:rsidR="00AA2D4F" w:rsidRPr="0071231A">
              <w:t>j</w:t>
            </w:r>
            <w:r w:rsidRPr="0071231A">
              <w:t>tja</w:t>
            </w:r>
            <w:r w:rsidR="004E5AFD" w:rsidRPr="0071231A">
              <w:t xml:space="preserve">, kultivimi </w:t>
            </w:r>
            <w:r w:rsidRPr="0071231A">
              <w:t xml:space="preserve">dhe promovimi </w:t>
            </w:r>
            <w:r w:rsidR="004E5AFD" w:rsidRPr="0071231A">
              <w:t>i</w:t>
            </w:r>
            <w:r w:rsidRPr="0071231A">
              <w:t xml:space="preserve"> </w:t>
            </w:r>
            <w:r w:rsidR="00862B70" w:rsidRPr="0071231A">
              <w:t xml:space="preserve">identitetit, </w:t>
            </w:r>
            <w:r w:rsidRPr="0071231A">
              <w:t>gjuhës</w:t>
            </w:r>
            <w:r w:rsidR="004E5AFD" w:rsidRPr="0071231A">
              <w:t xml:space="preserve">, artit </w:t>
            </w:r>
            <w:r w:rsidRPr="0071231A">
              <w:t>dhe kulturës shqiptare</w:t>
            </w:r>
            <w:r w:rsidR="00F82ABC">
              <w:t xml:space="preserve"> në Luginë</w:t>
            </w:r>
            <w:r w:rsidR="00862B70" w:rsidRPr="0071231A">
              <w:t>.</w:t>
            </w:r>
          </w:p>
        </w:tc>
      </w:tr>
      <w:tr w:rsidR="00AD78F1" w:rsidRPr="0071231A" w14:paraId="34484F02" w14:textId="77777777" w:rsidTr="00AE30E1">
        <w:tc>
          <w:tcPr>
            <w:tcW w:w="498" w:type="dxa"/>
          </w:tcPr>
          <w:p w14:paraId="54097AC5" w14:textId="62B35565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3</w:t>
            </w:r>
            <w:r w:rsidR="0007651E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0AB7AB7D" w14:textId="628A2F49" w:rsidR="00AD78F1" w:rsidRPr="0071231A" w:rsidRDefault="00AD78F1" w:rsidP="00AE30E1">
            <w:pPr>
              <w:rPr>
                <w:b/>
              </w:rPr>
            </w:pPr>
            <w:r w:rsidRPr="0071231A">
              <w:rPr>
                <w:b/>
              </w:rPr>
              <w:t xml:space="preserve">Qëllimet specifike </w:t>
            </w:r>
          </w:p>
        </w:tc>
        <w:tc>
          <w:tcPr>
            <w:tcW w:w="5988" w:type="dxa"/>
            <w:shd w:val="clear" w:color="auto" w:fill="auto"/>
          </w:tcPr>
          <w:p w14:paraId="433A9EAC" w14:textId="7070F2A2" w:rsidR="00FF3D44" w:rsidRPr="0071231A" w:rsidRDefault="00FF3D44" w:rsidP="00FF3D4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71231A">
              <w:t>Aktivitete që</w:t>
            </w:r>
            <w:r w:rsidR="00AE30E1">
              <w:t xml:space="preserve"> synojnë </w:t>
            </w:r>
            <w:proofErr w:type="spellStart"/>
            <w:r w:rsidR="00AE30E1">
              <w:t>avans</w:t>
            </w:r>
            <w:r w:rsidRPr="0071231A">
              <w:t>imin</w:t>
            </w:r>
            <w:proofErr w:type="spellEnd"/>
            <w:r w:rsidRPr="0071231A">
              <w:t xml:space="preserve"> e politikave në fushën e mbrojtjes dhe promovimit të </w:t>
            </w:r>
            <w:proofErr w:type="spellStart"/>
            <w:r w:rsidRPr="0071231A">
              <w:t>të</w:t>
            </w:r>
            <w:proofErr w:type="spellEnd"/>
            <w:r w:rsidRPr="0071231A">
              <w:t xml:space="preserve"> drejtave dhe interesave të pakicës shqiptare;</w:t>
            </w:r>
          </w:p>
          <w:p w14:paraId="3AE5F22B" w14:textId="77777777" w:rsidR="00FF3D44" w:rsidRPr="0071231A" w:rsidRDefault="00FF3D44" w:rsidP="00FF3D4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71231A">
              <w:t xml:space="preserve">Aktivitete për zhvillimin e mundësive ekonomike për </w:t>
            </w:r>
            <w:r w:rsidR="00FE6939" w:rsidRPr="0071231A">
              <w:t xml:space="preserve">shqiptarët </w:t>
            </w:r>
            <w:r w:rsidRPr="0071231A">
              <w:t xml:space="preserve">respektivisht aftësimi i tyre në gjenerimin e të hyrave; </w:t>
            </w:r>
          </w:p>
          <w:p w14:paraId="2288329D" w14:textId="3B8AF829" w:rsidR="00FE6939" w:rsidRPr="0071231A" w:rsidRDefault="00FE6939" w:rsidP="00FE6939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71231A">
              <w:t>Rritja e vetëdijes për të drejtat e njeriut me theks në të drejtat e pakicës shqiptare në Serbi</w:t>
            </w:r>
            <w:r w:rsidR="00AA2D4F" w:rsidRPr="0071231A">
              <w:t>;</w:t>
            </w:r>
          </w:p>
          <w:p w14:paraId="5E0A8674" w14:textId="25BE278A" w:rsidR="004E5AFD" w:rsidRPr="0071231A" w:rsidRDefault="004E5AFD" w:rsidP="004E5AFD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71231A">
              <w:t xml:space="preserve">Angazhimi </w:t>
            </w:r>
            <w:r w:rsidR="001F7CA4" w:rsidRPr="0071231A">
              <w:t>i</w:t>
            </w:r>
            <w:r w:rsidRPr="0071231A">
              <w:t xml:space="preserve"> shoqatave për të investuar në </w:t>
            </w:r>
            <w:r w:rsidR="00AA2D4F" w:rsidRPr="0071231A">
              <w:t>avancimin</w:t>
            </w:r>
            <w:r w:rsidRPr="0071231A">
              <w:t xml:space="preserve"> dhe zgjerimin e njohurive të rinisë për të pë</w:t>
            </w:r>
            <w:r w:rsidR="001F7CA4" w:rsidRPr="0071231A">
              <w:t>rfituar nga mundësitë e arsimit</w:t>
            </w:r>
            <w:r w:rsidR="00AA2D4F" w:rsidRPr="0071231A">
              <w:t>;</w:t>
            </w:r>
          </w:p>
          <w:p w14:paraId="54D4ECAD" w14:textId="0AFF8D36" w:rsidR="00AD78F1" w:rsidRPr="0071231A" w:rsidRDefault="004E5AFD" w:rsidP="004E5AFD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71231A">
              <w:t>Aktivitete rinore, sportive, edukative, kulturore që promovojnë gjuhën</w:t>
            </w:r>
            <w:r w:rsidR="001F7CA4" w:rsidRPr="0071231A">
              <w:t xml:space="preserve">, identitetin </w:t>
            </w:r>
            <w:r w:rsidRPr="0071231A">
              <w:t>dhe kulturën shqiptare</w:t>
            </w:r>
            <w:r w:rsidR="00AA2D4F" w:rsidRPr="0071231A">
              <w:t>;</w:t>
            </w:r>
          </w:p>
          <w:p w14:paraId="07888F34" w14:textId="08D90D50" w:rsidR="004E5AFD" w:rsidRPr="0071231A" w:rsidRDefault="004E5AFD" w:rsidP="004E5AFD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71231A">
              <w:t xml:space="preserve">Aktivitete që mbrojnë dhe promovojnë </w:t>
            </w:r>
            <w:r w:rsidR="001F7CA4" w:rsidRPr="0071231A">
              <w:t xml:space="preserve">vlerat dhe </w:t>
            </w:r>
            <w:r w:rsidRPr="0071231A">
              <w:t>trashëgiminë kulturore</w:t>
            </w:r>
            <w:r w:rsidR="001F7CA4" w:rsidRPr="0071231A">
              <w:t xml:space="preserve"> shqiptare</w:t>
            </w:r>
            <w:r w:rsidR="00AA2D4F" w:rsidRPr="0071231A">
              <w:t>;</w:t>
            </w:r>
          </w:p>
          <w:p w14:paraId="1CEA7604" w14:textId="09E06E7D" w:rsidR="000A5A34" w:rsidRPr="0071231A" w:rsidRDefault="000A5A34" w:rsidP="001F7CA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71231A">
              <w:t>Aktivitetet që mbrojnë dhe promovojnë të drejtat e personave me nevoja të veçanta</w:t>
            </w:r>
            <w:r w:rsidR="005B68AC" w:rsidRPr="0071231A">
              <w:t>, të vajzave dhe grave dhe fëmijëve nga lugina</w:t>
            </w:r>
            <w:r w:rsidR="00AA2D4F" w:rsidRPr="0071231A">
              <w:t>;</w:t>
            </w:r>
          </w:p>
          <w:p w14:paraId="69BE2CCD" w14:textId="01FB5C46" w:rsidR="004E5AFD" w:rsidRPr="0071231A" w:rsidRDefault="004E5AFD" w:rsidP="001F7CA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71231A">
              <w:lastRenderedPageBreak/>
              <w:t xml:space="preserve">Shkëmbime të ndryshme mes organizatave </w:t>
            </w:r>
            <w:r w:rsidR="001F7CA4" w:rsidRPr="0071231A">
              <w:t>b</w:t>
            </w:r>
            <w:r w:rsidRPr="0071231A">
              <w:t xml:space="preserve">renda luginës </w:t>
            </w:r>
            <w:r w:rsidR="000A5A34" w:rsidRPr="0071231A">
              <w:t xml:space="preserve">(përfshirë Sanxhakun) </w:t>
            </w:r>
            <w:r w:rsidRPr="0071231A">
              <w:t>me ato të Kosovës</w:t>
            </w:r>
            <w:r w:rsidR="00AA2D4F" w:rsidRPr="0071231A">
              <w:t>;</w:t>
            </w:r>
          </w:p>
          <w:p w14:paraId="3FC99AE6" w14:textId="77777777" w:rsidR="001F7CA4" w:rsidRPr="0071231A" w:rsidRDefault="001F7CA4" w:rsidP="001F7CA4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71231A">
              <w:t>Aktivitete që kan</w:t>
            </w:r>
            <w:r w:rsidR="00AA2D4F" w:rsidRPr="0071231A">
              <w:t>ë</w:t>
            </w:r>
            <w:r w:rsidRPr="0071231A">
              <w:t xml:space="preserve"> të bëjnë me rrjetëzime dhe partneritete mes organizatave shqiptare të Luginës me organizata tjera në Kosovë, Shqipëri e Maqedoni Veriore.</w:t>
            </w:r>
          </w:p>
        </w:tc>
      </w:tr>
      <w:tr w:rsidR="00AD78F1" w:rsidRPr="0071231A" w14:paraId="7CF35D59" w14:textId="77777777" w:rsidTr="00AE30E1">
        <w:tc>
          <w:tcPr>
            <w:tcW w:w="498" w:type="dxa"/>
          </w:tcPr>
          <w:p w14:paraId="550BD751" w14:textId="14DFEE18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lastRenderedPageBreak/>
              <w:t>4</w:t>
            </w:r>
            <w:r w:rsidR="0007651E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4250253A" w14:textId="05A874E4" w:rsidR="00AD78F1" w:rsidRPr="0071231A" w:rsidRDefault="00BC75FC" w:rsidP="00113BA8">
            <w:pPr>
              <w:rPr>
                <w:b/>
              </w:rPr>
            </w:pPr>
            <w:r w:rsidRPr="0071231A">
              <w:rPr>
                <w:b/>
              </w:rPr>
              <w:t>Buxheti i përgjithshëm në dispozicion</w:t>
            </w:r>
          </w:p>
        </w:tc>
        <w:tc>
          <w:tcPr>
            <w:tcW w:w="5988" w:type="dxa"/>
            <w:shd w:val="clear" w:color="auto" w:fill="auto"/>
          </w:tcPr>
          <w:p w14:paraId="17B10401" w14:textId="5AB8A462" w:rsidR="00AD78F1" w:rsidRPr="0071231A" w:rsidRDefault="002E5CC6" w:rsidP="002E5CC6">
            <w:pPr>
              <w:pStyle w:val="ListParagraph"/>
              <w:numPr>
                <w:ilvl w:val="0"/>
                <w:numId w:val="14"/>
              </w:numPr>
              <w:spacing w:after="200" w:line="276" w:lineRule="auto"/>
            </w:pPr>
            <w:r>
              <w:t>Sipas l</w:t>
            </w:r>
            <w:r w:rsidR="00113BA8" w:rsidRPr="00113BA8">
              <w:t>igjit Nr.08/L-066 për Ndarjet Buxhetore për Buxhetin e Republikës së Kosovës</w:t>
            </w:r>
            <w:r w:rsidR="00113BA8">
              <w:t xml:space="preserve"> për vitin 2022</w:t>
            </w:r>
            <w:r w:rsidR="00113BA8" w:rsidRPr="00113BA8">
              <w:t>;</w:t>
            </w:r>
          </w:p>
        </w:tc>
      </w:tr>
      <w:tr w:rsidR="00AD78F1" w:rsidRPr="0071231A" w14:paraId="44E369E3" w14:textId="77777777" w:rsidTr="00AE30E1">
        <w:tc>
          <w:tcPr>
            <w:tcW w:w="498" w:type="dxa"/>
          </w:tcPr>
          <w:p w14:paraId="1F510802" w14:textId="6DBDBF7F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5</w:t>
            </w:r>
            <w:r w:rsidR="0007651E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02AD0521" w14:textId="77777777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Thirrjet publike</w:t>
            </w:r>
          </w:p>
        </w:tc>
        <w:tc>
          <w:tcPr>
            <w:tcW w:w="5988" w:type="dxa"/>
            <w:shd w:val="clear" w:color="auto" w:fill="auto"/>
          </w:tcPr>
          <w:p w14:paraId="2171E808" w14:textId="77777777" w:rsidR="004018BB" w:rsidRPr="0071231A" w:rsidRDefault="000A5A34" w:rsidP="00D50FE1">
            <w:pPr>
              <w:spacing w:after="200" w:line="276" w:lineRule="auto"/>
            </w:pPr>
            <w:r w:rsidRPr="0071231A">
              <w:t xml:space="preserve">Të gjitha fondet dhe përkrahja do të realizohet përmes thirrjeve publike </w:t>
            </w:r>
            <w:r w:rsidR="00D50FE1" w:rsidRPr="0071231A">
              <w:t xml:space="preserve">të menaxhuara nga Këshilli Kombëtar Shqiptar. </w:t>
            </w:r>
          </w:p>
          <w:p w14:paraId="1FFCEB81" w14:textId="17294B5A" w:rsidR="00D50FE1" w:rsidRPr="0071231A" w:rsidRDefault="00D50FE1" w:rsidP="00D50FE1">
            <w:pPr>
              <w:spacing w:after="200" w:line="276" w:lineRule="auto"/>
            </w:pPr>
            <w:r w:rsidRPr="0071231A">
              <w:t xml:space="preserve">Administrimi i thirrjeve, kategorizimi i aplikimeve e kontrolli administrativ, përfshirë komunikimin me </w:t>
            </w:r>
            <w:proofErr w:type="spellStart"/>
            <w:r w:rsidRPr="0071231A">
              <w:t>aplikantët</w:t>
            </w:r>
            <w:proofErr w:type="spellEnd"/>
            <w:r w:rsidRPr="0071231A">
              <w:t xml:space="preserve"> </w:t>
            </w:r>
            <w:r w:rsidR="00D47BD9">
              <w:t xml:space="preserve">potencial dhe përfituesit </w:t>
            </w:r>
            <w:r w:rsidRPr="0071231A">
              <w:t>bëhet nga KKSH.</w:t>
            </w:r>
          </w:p>
        </w:tc>
      </w:tr>
      <w:tr w:rsidR="00F1457B" w:rsidRPr="0071231A" w14:paraId="7C4C4845" w14:textId="77777777" w:rsidTr="00AE30E1">
        <w:tc>
          <w:tcPr>
            <w:tcW w:w="498" w:type="dxa"/>
          </w:tcPr>
          <w:p w14:paraId="636201E1" w14:textId="23684E7E" w:rsidR="00F1457B" w:rsidRPr="0071231A" w:rsidRDefault="00FF3D44" w:rsidP="00AD78F1">
            <w:pPr>
              <w:rPr>
                <w:b/>
              </w:rPr>
            </w:pPr>
            <w:r w:rsidRPr="0071231A">
              <w:rPr>
                <w:b/>
              </w:rPr>
              <w:t>6</w:t>
            </w:r>
            <w:r w:rsidR="0007651E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41EEFB77" w14:textId="77777777" w:rsidR="00F1457B" w:rsidRPr="0071231A" w:rsidRDefault="00F1457B" w:rsidP="00AD78F1">
            <w:pPr>
              <w:rPr>
                <w:b/>
              </w:rPr>
            </w:pPr>
            <w:r w:rsidRPr="0071231A">
              <w:rPr>
                <w:b/>
              </w:rPr>
              <w:t>Grupi i synuar</w:t>
            </w:r>
          </w:p>
        </w:tc>
        <w:tc>
          <w:tcPr>
            <w:tcW w:w="5988" w:type="dxa"/>
            <w:shd w:val="clear" w:color="auto" w:fill="auto"/>
          </w:tcPr>
          <w:p w14:paraId="0831DF32" w14:textId="43EC0061" w:rsidR="00F1457B" w:rsidRPr="0071231A" w:rsidRDefault="00AA2D4F" w:rsidP="00AA2D4F">
            <w:pPr>
              <w:spacing w:after="200" w:line="276" w:lineRule="auto"/>
            </w:pPr>
            <w:r w:rsidRPr="0071231A">
              <w:t>Komuniteti shqiptar në përgjithësi me theks të veçantë tek t</w:t>
            </w:r>
            <w:r w:rsidR="00F1457B" w:rsidRPr="0071231A">
              <w:t xml:space="preserve">ë rinjtë, studentët, gratë dhe vajzat, </w:t>
            </w:r>
            <w:r w:rsidR="00FF3D44" w:rsidRPr="0071231A">
              <w:t xml:space="preserve">fëmijët, </w:t>
            </w:r>
            <w:r w:rsidR="00F1457B" w:rsidRPr="0071231A">
              <w:t>artistët, sportistët, krijuesit, akademikët etj.</w:t>
            </w:r>
          </w:p>
        </w:tc>
      </w:tr>
      <w:tr w:rsidR="00AD78F1" w:rsidRPr="0071231A" w14:paraId="787A14B5" w14:textId="77777777" w:rsidTr="00AE30E1">
        <w:tc>
          <w:tcPr>
            <w:tcW w:w="498" w:type="dxa"/>
          </w:tcPr>
          <w:p w14:paraId="157D675F" w14:textId="73980C37" w:rsidR="00AD78F1" w:rsidRPr="0071231A" w:rsidRDefault="00FF3D44" w:rsidP="00AD78F1">
            <w:pPr>
              <w:rPr>
                <w:b/>
              </w:rPr>
            </w:pPr>
            <w:r w:rsidRPr="0071231A">
              <w:rPr>
                <w:b/>
              </w:rPr>
              <w:t>7</w:t>
            </w:r>
            <w:r w:rsidR="0007651E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06F354FF" w14:textId="77777777" w:rsidR="00AD78F1" w:rsidRPr="0071231A" w:rsidRDefault="00F1457B" w:rsidP="00AD78F1">
            <w:pPr>
              <w:rPr>
                <w:b/>
              </w:rPr>
            </w:pPr>
            <w:r w:rsidRPr="0071231A">
              <w:rPr>
                <w:b/>
              </w:rPr>
              <w:t>Kush mund të aplikoj</w:t>
            </w:r>
            <w:r w:rsidR="00AA2D4F" w:rsidRPr="0071231A">
              <w:rPr>
                <w:b/>
              </w:rPr>
              <w:t>ë</w:t>
            </w:r>
            <w:r w:rsidRPr="0071231A">
              <w:rPr>
                <w:b/>
              </w:rPr>
              <w:t>?</w:t>
            </w:r>
          </w:p>
        </w:tc>
        <w:tc>
          <w:tcPr>
            <w:tcW w:w="5988" w:type="dxa"/>
            <w:shd w:val="clear" w:color="auto" w:fill="auto"/>
          </w:tcPr>
          <w:p w14:paraId="401077EE" w14:textId="77777777" w:rsidR="00AD78F1" w:rsidRPr="0071231A" w:rsidRDefault="001F3328" w:rsidP="00FF3D4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1163"/>
            </w:pPr>
            <w:r w:rsidRPr="0071231A">
              <w:t>Organizatat Jo</w:t>
            </w:r>
            <w:r w:rsidR="00FA20CF" w:rsidRPr="0071231A">
              <w:t>-</w:t>
            </w:r>
            <w:r w:rsidRPr="0071231A">
              <w:t>qeveritare (OJQ)</w:t>
            </w:r>
          </w:p>
          <w:p w14:paraId="52D5AF44" w14:textId="77777777" w:rsidR="001F3328" w:rsidRPr="0071231A" w:rsidRDefault="001F3328" w:rsidP="00FF3D4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1163"/>
            </w:pPr>
            <w:r w:rsidRPr="0071231A">
              <w:t xml:space="preserve">Odat </w:t>
            </w:r>
            <w:r w:rsidR="00FF3D44" w:rsidRPr="0071231A">
              <w:t xml:space="preserve">dhe </w:t>
            </w:r>
            <w:r w:rsidRPr="0071231A">
              <w:t>këshillat e ndryshme të themeluara sipas ligjit</w:t>
            </w:r>
          </w:p>
          <w:p w14:paraId="6AB19A51" w14:textId="77777777" w:rsidR="001F3328" w:rsidRPr="0071231A" w:rsidRDefault="001F3328" w:rsidP="00FF3D4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1163"/>
            </w:pPr>
            <w:r w:rsidRPr="0071231A">
              <w:t>Organizatat e paregjistruara</w:t>
            </w:r>
          </w:p>
          <w:p w14:paraId="3A7A14BB" w14:textId="47BFB39D" w:rsidR="001F3328" w:rsidRPr="0071231A" w:rsidRDefault="001F3328" w:rsidP="00D3602E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1163"/>
            </w:pPr>
            <w:r w:rsidRPr="0071231A">
              <w:t>Individët (</w:t>
            </w:r>
            <w:r w:rsidR="00D3602E">
              <w:t xml:space="preserve">Studentët, </w:t>
            </w:r>
            <w:r w:rsidRPr="0071231A">
              <w:t>Artistët, Sportistët</w:t>
            </w:r>
            <w:r w:rsidR="00D3602E">
              <w:t xml:space="preserve"> </w:t>
            </w:r>
            <w:r w:rsidRPr="0071231A">
              <w:t>etj.)</w:t>
            </w:r>
          </w:p>
        </w:tc>
      </w:tr>
      <w:tr w:rsidR="00AD78F1" w:rsidRPr="0071231A" w14:paraId="7151AF1B" w14:textId="77777777" w:rsidTr="00AE30E1">
        <w:tc>
          <w:tcPr>
            <w:tcW w:w="498" w:type="dxa"/>
          </w:tcPr>
          <w:p w14:paraId="7E796E98" w14:textId="2B198F05" w:rsidR="00AD78F1" w:rsidRPr="0071231A" w:rsidRDefault="00FF3D44" w:rsidP="00AD78F1">
            <w:pPr>
              <w:rPr>
                <w:b/>
              </w:rPr>
            </w:pPr>
            <w:r w:rsidRPr="0071231A">
              <w:rPr>
                <w:b/>
              </w:rPr>
              <w:t>8</w:t>
            </w:r>
            <w:r w:rsidR="0007651E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1394AD64" w14:textId="5C83B839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Promovimi</w:t>
            </w:r>
            <w:r w:rsidR="00D3602E">
              <w:rPr>
                <w:b/>
              </w:rPr>
              <w:t xml:space="preserve"> i thirrjeve publike</w:t>
            </w:r>
          </w:p>
        </w:tc>
        <w:tc>
          <w:tcPr>
            <w:tcW w:w="5988" w:type="dxa"/>
            <w:shd w:val="clear" w:color="auto" w:fill="auto"/>
          </w:tcPr>
          <w:p w14:paraId="443F3B1F" w14:textId="546896DF" w:rsidR="00D3602E" w:rsidRDefault="00D3602E" w:rsidP="00F1457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proofErr w:type="spellStart"/>
            <w:r>
              <w:t>Zyret</w:t>
            </w:r>
            <w:proofErr w:type="spellEnd"/>
            <w:r>
              <w:t xml:space="preserve"> e hapura për </w:t>
            </w:r>
            <w:proofErr w:type="spellStart"/>
            <w:r>
              <w:t>aplikantët</w:t>
            </w:r>
            <w:proofErr w:type="spellEnd"/>
          </w:p>
          <w:p w14:paraId="70BD842D" w14:textId="484CC2AA" w:rsidR="00C96FCC" w:rsidRDefault="00D3602E" w:rsidP="00F1457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>
              <w:t xml:space="preserve">Sesione </w:t>
            </w:r>
            <w:r w:rsidR="00C96FCC" w:rsidRPr="0071231A">
              <w:t>informimi nga KKSH</w:t>
            </w:r>
          </w:p>
          <w:p w14:paraId="46305DF0" w14:textId="5B9E21CE" w:rsidR="00AD78F1" w:rsidRPr="0071231A" w:rsidRDefault="00EC2610" w:rsidP="00F1457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Rrjetet social</w:t>
            </w:r>
            <w:r w:rsidR="00AA2D4F" w:rsidRPr="0071231A">
              <w:t>e</w:t>
            </w:r>
            <w:r w:rsidRPr="0071231A">
              <w:t>, TV</w:t>
            </w:r>
            <w:r w:rsidR="00D3602E">
              <w:t xml:space="preserve"> dhe radiot </w:t>
            </w:r>
          </w:p>
          <w:p w14:paraId="6CC0FF11" w14:textId="77777777" w:rsidR="00EC2610" w:rsidRPr="0071231A" w:rsidRDefault="00CD2137" w:rsidP="00F1457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 xml:space="preserve">Përmes partnerëve </w:t>
            </w:r>
            <w:r w:rsidR="00FF3D44" w:rsidRPr="0071231A">
              <w:t>lo</w:t>
            </w:r>
            <w:r w:rsidR="00AA2D4F" w:rsidRPr="0071231A">
              <w:t>k</w:t>
            </w:r>
            <w:r w:rsidR="00FF3D44" w:rsidRPr="0071231A">
              <w:t>al</w:t>
            </w:r>
          </w:p>
          <w:p w14:paraId="4890AD35" w14:textId="5BB5638D" w:rsidR="00725BB1" w:rsidRPr="0071231A" w:rsidRDefault="00725BB1" w:rsidP="00F1457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 xml:space="preserve">Intervista dhe paraqitja </w:t>
            </w:r>
            <w:proofErr w:type="spellStart"/>
            <w:r w:rsidRPr="0071231A">
              <w:t>mediale</w:t>
            </w:r>
            <w:proofErr w:type="spellEnd"/>
            <w:r w:rsidRPr="0071231A">
              <w:t xml:space="preserve"> nga KKSH</w:t>
            </w:r>
          </w:p>
        </w:tc>
      </w:tr>
      <w:tr w:rsidR="00AD78F1" w:rsidRPr="0071231A" w14:paraId="1DAC9A0E" w14:textId="77777777" w:rsidTr="00AE30E1">
        <w:tc>
          <w:tcPr>
            <w:tcW w:w="498" w:type="dxa"/>
          </w:tcPr>
          <w:p w14:paraId="65B78B61" w14:textId="0E90822B" w:rsidR="00AD78F1" w:rsidRPr="0071231A" w:rsidRDefault="00FF3D44" w:rsidP="00AD78F1">
            <w:pPr>
              <w:rPr>
                <w:b/>
              </w:rPr>
            </w:pPr>
            <w:r w:rsidRPr="0071231A">
              <w:rPr>
                <w:b/>
              </w:rPr>
              <w:t>9</w:t>
            </w:r>
            <w:r w:rsidR="0007651E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4D6AE9B8" w14:textId="77777777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Format e përkrahjes (instrumentet)</w:t>
            </w:r>
            <w:r w:rsidR="002D6253" w:rsidRPr="0071231A">
              <w:rPr>
                <w:b/>
              </w:rPr>
              <w:t xml:space="preserve"> dhe shuma për </w:t>
            </w:r>
            <w:proofErr w:type="spellStart"/>
            <w:r w:rsidR="002D6253" w:rsidRPr="0071231A">
              <w:rPr>
                <w:b/>
              </w:rPr>
              <w:t>grant</w:t>
            </w:r>
            <w:proofErr w:type="spellEnd"/>
          </w:p>
        </w:tc>
        <w:tc>
          <w:tcPr>
            <w:tcW w:w="5988" w:type="dxa"/>
            <w:shd w:val="clear" w:color="auto" w:fill="auto"/>
          </w:tcPr>
          <w:p w14:paraId="44A7BAA3" w14:textId="4CD2191F" w:rsidR="00B43F06" w:rsidRPr="0071231A" w:rsidRDefault="00B43F06" w:rsidP="00B43F06">
            <w:pPr>
              <w:pStyle w:val="ListParagraph"/>
              <w:numPr>
                <w:ilvl w:val="0"/>
                <w:numId w:val="11"/>
              </w:numPr>
              <w:spacing w:after="200" w:line="276" w:lineRule="auto"/>
            </w:pPr>
            <w:r w:rsidRPr="0071231A">
              <w:t xml:space="preserve">Shuma e </w:t>
            </w:r>
            <w:proofErr w:type="spellStart"/>
            <w:r w:rsidRPr="0071231A">
              <w:t>granteve</w:t>
            </w:r>
            <w:proofErr w:type="spellEnd"/>
            <w:r w:rsidRPr="0071231A">
              <w:t xml:space="preserve"> </w:t>
            </w:r>
            <w:r w:rsidR="00AD3AC0" w:rsidRPr="0071231A">
              <w:t>do të varet nga lloji i projekt propozimit</w:t>
            </w:r>
            <w:r w:rsidR="00DA71AC" w:rsidRPr="0071231A">
              <w:t xml:space="preserve"> dhe kapaciteti për zbatim</w:t>
            </w:r>
            <w:r w:rsidRPr="0071231A">
              <w:t xml:space="preserve">, </w:t>
            </w:r>
            <w:r w:rsidR="00AD3AC0" w:rsidRPr="0071231A">
              <w:t xml:space="preserve">pra </w:t>
            </w:r>
            <w:r w:rsidR="00DA71AC" w:rsidRPr="0071231A">
              <w:t xml:space="preserve">shuma e përkrahjes </w:t>
            </w:r>
            <w:r w:rsidRPr="0071231A">
              <w:t xml:space="preserve">do të jetë e hapur për tu vlerësuar nga Komisioni Përzgjedhës. </w:t>
            </w:r>
          </w:p>
          <w:p w14:paraId="00AE2846" w14:textId="77777777" w:rsidR="00AA2D4F" w:rsidRDefault="00B43F06" w:rsidP="00D3602E">
            <w:pPr>
              <w:pStyle w:val="ListParagraph"/>
              <w:numPr>
                <w:ilvl w:val="0"/>
                <w:numId w:val="11"/>
              </w:numPr>
              <w:spacing w:after="200" w:line="276" w:lineRule="auto"/>
            </w:pPr>
            <w:proofErr w:type="spellStart"/>
            <w:r w:rsidRPr="0071231A">
              <w:t>Grantet</w:t>
            </w:r>
            <w:proofErr w:type="spellEnd"/>
            <w:r w:rsidRPr="0071231A">
              <w:t xml:space="preserve"> mund të jenë </w:t>
            </w:r>
            <w:proofErr w:type="spellStart"/>
            <w:r w:rsidRPr="0071231A">
              <w:t>mikro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grante</w:t>
            </w:r>
            <w:proofErr w:type="spellEnd"/>
            <w:r w:rsidRPr="0071231A">
              <w:t xml:space="preserve"> i</w:t>
            </w:r>
            <w:r w:rsidR="008D5A24" w:rsidRPr="0071231A">
              <w:t>ndividuale</w:t>
            </w:r>
            <w:r w:rsidR="00691EDF" w:rsidRPr="0071231A">
              <w:t xml:space="preserve"> </w:t>
            </w:r>
            <w:r w:rsidR="008D5A24" w:rsidRPr="0071231A">
              <w:t>(</w:t>
            </w:r>
            <w:r w:rsidR="00D3602E">
              <w:t xml:space="preserve">deri </w:t>
            </w:r>
            <w:r w:rsidR="008D5A24" w:rsidRPr="0071231A">
              <w:t>1,000</w:t>
            </w:r>
            <w:r w:rsidR="00691EDF" w:rsidRPr="0071231A">
              <w:t xml:space="preserve"> EUR</w:t>
            </w:r>
            <w:r w:rsidR="008D5A24" w:rsidRPr="0071231A">
              <w:t xml:space="preserve">), </w:t>
            </w:r>
            <w:r w:rsidRPr="0071231A">
              <w:t>të vogla</w:t>
            </w:r>
            <w:r w:rsidR="008D5A24" w:rsidRPr="0071231A">
              <w:t xml:space="preserve"> (deri 5,000 EUR)</w:t>
            </w:r>
            <w:r w:rsidR="005A1733" w:rsidRPr="0071231A">
              <w:t>, të mesme</w:t>
            </w:r>
            <w:r w:rsidR="008D5A24" w:rsidRPr="0071231A">
              <w:t xml:space="preserve"> (25,000</w:t>
            </w:r>
            <w:r w:rsidR="0050139C" w:rsidRPr="0071231A">
              <w:t xml:space="preserve"> – 50,000 </w:t>
            </w:r>
            <w:r w:rsidR="008D5A24" w:rsidRPr="0071231A">
              <w:t>EUR)</w:t>
            </w:r>
            <w:r w:rsidR="005A1733" w:rsidRPr="0071231A">
              <w:t xml:space="preserve"> apo të mëdha (duke filluar n</w:t>
            </w:r>
            <w:r w:rsidR="008D5A24" w:rsidRPr="0071231A">
              <w:t>ga 50</w:t>
            </w:r>
            <w:r w:rsidR="005A1733" w:rsidRPr="0071231A">
              <w:t>,00</w:t>
            </w:r>
            <w:r w:rsidR="00D3602E">
              <w:t>1</w:t>
            </w:r>
            <w:r w:rsidR="005A1733" w:rsidRPr="0071231A">
              <w:t xml:space="preserve"> </w:t>
            </w:r>
            <w:r w:rsidR="008D5A24" w:rsidRPr="0071231A">
              <w:t>e më shumë).</w:t>
            </w:r>
          </w:p>
          <w:p w14:paraId="2622BCAA" w14:textId="4FEEDB64" w:rsidR="00D3602E" w:rsidRPr="0071231A" w:rsidRDefault="00D3602E" w:rsidP="00D3602E">
            <w:pPr>
              <w:pStyle w:val="ListParagraph"/>
              <w:spacing w:after="200" w:line="276" w:lineRule="auto"/>
            </w:pPr>
          </w:p>
        </w:tc>
      </w:tr>
      <w:tr w:rsidR="00AD78F1" w:rsidRPr="0071231A" w14:paraId="37D4A442" w14:textId="77777777" w:rsidTr="00AE30E1">
        <w:tc>
          <w:tcPr>
            <w:tcW w:w="498" w:type="dxa"/>
          </w:tcPr>
          <w:p w14:paraId="019ECBD4" w14:textId="58DE6CCF" w:rsidR="00AD78F1" w:rsidRPr="0071231A" w:rsidRDefault="00FF3D44" w:rsidP="00AD78F1">
            <w:pPr>
              <w:rPr>
                <w:b/>
              </w:rPr>
            </w:pPr>
            <w:r w:rsidRPr="0071231A">
              <w:rPr>
                <w:b/>
              </w:rPr>
              <w:lastRenderedPageBreak/>
              <w:t>10</w:t>
            </w:r>
            <w:r w:rsidR="0007651E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43FE3518" w14:textId="18B76337" w:rsidR="00AD78F1" w:rsidRPr="0071231A" w:rsidRDefault="0039111B" w:rsidP="00AD78F1">
            <w:pPr>
              <w:rPr>
                <w:b/>
              </w:rPr>
            </w:pPr>
            <w:r w:rsidRPr="0071231A">
              <w:rPr>
                <w:b/>
              </w:rPr>
              <w:t>Kushtet e aplikimit:</w:t>
            </w:r>
          </w:p>
        </w:tc>
        <w:tc>
          <w:tcPr>
            <w:tcW w:w="5988" w:type="dxa"/>
            <w:shd w:val="clear" w:color="auto" w:fill="auto"/>
          </w:tcPr>
          <w:p w14:paraId="0A47B297" w14:textId="77777777" w:rsidR="00FF3D44" w:rsidRPr="0071231A" w:rsidRDefault="00FF3D44" w:rsidP="00FF3D4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OJQ të regjistruara në Serbi</w:t>
            </w:r>
          </w:p>
          <w:p w14:paraId="7B9AF3C3" w14:textId="19636EFC" w:rsidR="00FF3D44" w:rsidRPr="0071231A" w:rsidRDefault="00FF3D44" w:rsidP="00FF3D4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 xml:space="preserve">Përvoja dhe </w:t>
            </w:r>
            <w:proofErr w:type="spellStart"/>
            <w:r w:rsidRPr="0071231A">
              <w:t>fushëveprimtaria</w:t>
            </w:r>
            <w:proofErr w:type="spellEnd"/>
            <w:r w:rsidR="00D3602E">
              <w:t xml:space="preserve"> relevante</w:t>
            </w:r>
          </w:p>
          <w:p w14:paraId="028686CA" w14:textId="77777777" w:rsidR="00FF3D44" w:rsidRPr="0071231A" w:rsidRDefault="00FF3D44" w:rsidP="00FF3D4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 xml:space="preserve">Zotësi juridike, financiare dhe </w:t>
            </w:r>
            <w:proofErr w:type="spellStart"/>
            <w:r w:rsidRPr="0071231A">
              <w:t>operacionale</w:t>
            </w:r>
            <w:proofErr w:type="spellEnd"/>
            <w:r w:rsidRPr="0071231A">
              <w:t xml:space="preserve"> për zbatim të projektit</w:t>
            </w:r>
          </w:p>
          <w:p w14:paraId="7DEDAC1A" w14:textId="7E62511C" w:rsidR="00AD78F1" w:rsidRPr="0071231A" w:rsidRDefault="00FF3D44" w:rsidP="00FF3D4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 xml:space="preserve">Për </w:t>
            </w:r>
            <w:proofErr w:type="spellStart"/>
            <w:r w:rsidRPr="0071231A">
              <w:t>grantet</w:t>
            </w:r>
            <w:proofErr w:type="spellEnd"/>
            <w:r w:rsidRPr="0071231A">
              <w:t xml:space="preserve"> e</w:t>
            </w:r>
            <w:r w:rsidR="00D3602E">
              <w:t xml:space="preserve"> </w:t>
            </w:r>
            <w:r w:rsidR="00DC745F" w:rsidRPr="0071231A">
              <w:t>mëdha përvojë së paku 5 vjeç</w:t>
            </w:r>
            <w:r w:rsidRPr="0071231A">
              <w:t>are</w:t>
            </w:r>
          </w:p>
          <w:p w14:paraId="21F04E8C" w14:textId="731B5165" w:rsidR="00FF3D44" w:rsidRPr="0071231A" w:rsidRDefault="00D3602E" w:rsidP="00FF3D4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>
              <w:t xml:space="preserve">Përvojë paraprake me administrim të fondeve, sidomos për </w:t>
            </w:r>
            <w:proofErr w:type="spellStart"/>
            <w:r>
              <w:t>grantet</w:t>
            </w:r>
            <w:proofErr w:type="spellEnd"/>
            <w:r>
              <w:t xml:space="preserve"> e mesme dhe të mëdha</w:t>
            </w:r>
          </w:p>
          <w:p w14:paraId="4E440F7D" w14:textId="1BDB5421" w:rsidR="00DA71AC" w:rsidRPr="0071231A" w:rsidRDefault="00DA71AC" w:rsidP="00FF3D44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CV-të e s</w:t>
            </w:r>
            <w:r w:rsidR="00D3602E">
              <w:t xml:space="preserve">tafit </w:t>
            </w:r>
            <w:proofErr w:type="spellStart"/>
            <w:r w:rsidR="00D3602E">
              <w:t>kyq</w:t>
            </w:r>
            <w:proofErr w:type="spellEnd"/>
            <w:r w:rsidR="00D3602E">
              <w:t xml:space="preserve"> përgjegjës për projektin</w:t>
            </w:r>
          </w:p>
          <w:p w14:paraId="1B020709" w14:textId="720BB498" w:rsidR="007F3A9A" w:rsidRPr="0071231A" w:rsidRDefault="009A6E70" w:rsidP="007F3A9A">
            <w:pPr>
              <w:spacing w:after="200" w:line="276" w:lineRule="auto"/>
            </w:pPr>
            <w:r w:rsidRPr="0071231A">
              <w:t xml:space="preserve">Ndalohet </w:t>
            </w:r>
            <w:r>
              <w:t xml:space="preserve">aplikimi i </w:t>
            </w:r>
            <w:r w:rsidRPr="0071231A">
              <w:t>OJQ-</w:t>
            </w:r>
            <w:r>
              <w:t xml:space="preserve">ve dhe individëve </w:t>
            </w:r>
            <w:r w:rsidRPr="0071231A">
              <w:t>të cil</w:t>
            </w:r>
            <w:r>
              <w:t>ë</w:t>
            </w:r>
            <w:r w:rsidRPr="0071231A">
              <w:t>t mund të kenë konflikt interesi</w:t>
            </w:r>
            <w:r>
              <w:t xml:space="preserve"> me Këshillin.</w:t>
            </w:r>
          </w:p>
        </w:tc>
      </w:tr>
      <w:tr w:rsidR="0039111B" w:rsidRPr="0071231A" w14:paraId="5D1C89EA" w14:textId="77777777" w:rsidTr="00AE30E1">
        <w:tc>
          <w:tcPr>
            <w:tcW w:w="498" w:type="dxa"/>
          </w:tcPr>
          <w:p w14:paraId="592F7B30" w14:textId="2E282F07" w:rsidR="0039111B" w:rsidRPr="0071231A" w:rsidRDefault="0039111B" w:rsidP="00AD78F1">
            <w:pPr>
              <w:rPr>
                <w:b/>
              </w:rPr>
            </w:pPr>
            <w:r w:rsidRPr="0071231A">
              <w:rPr>
                <w:b/>
              </w:rPr>
              <w:t>11</w:t>
            </w:r>
            <w:r w:rsidR="00F82ABC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2E59691A" w14:textId="77777777" w:rsidR="0039111B" w:rsidRPr="0071231A" w:rsidRDefault="0039111B" w:rsidP="0039111B">
            <w:pPr>
              <w:spacing w:after="200" w:line="276" w:lineRule="auto"/>
              <w:rPr>
                <w:b/>
              </w:rPr>
            </w:pPr>
            <w:r w:rsidRPr="0071231A">
              <w:rPr>
                <w:b/>
              </w:rPr>
              <w:t>Kriteret e përzgjedhjes:</w:t>
            </w:r>
          </w:p>
          <w:p w14:paraId="0D95B8B5" w14:textId="77777777" w:rsidR="0039111B" w:rsidRPr="0071231A" w:rsidRDefault="0039111B" w:rsidP="00AD78F1">
            <w:pPr>
              <w:rPr>
                <w:b/>
              </w:rPr>
            </w:pPr>
          </w:p>
        </w:tc>
        <w:tc>
          <w:tcPr>
            <w:tcW w:w="5988" w:type="dxa"/>
            <w:shd w:val="clear" w:color="auto" w:fill="auto"/>
          </w:tcPr>
          <w:p w14:paraId="02D4B68E" w14:textId="77777777" w:rsidR="0039111B" w:rsidRPr="0071231A" w:rsidRDefault="0039111B" w:rsidP="0039111B">
            <w:pPr>
              <w:pStyle w:val="ListParagraph"/>
              <w:numPr>
                <w:ilvl w:val="0"/>
                <w:numId w:val="13"/>
              </w:numPr>
              <w:spacing w:after="200" w:line="276" w:lineRule="auto"/>
            </w:pPr>
            <w:proofErr w:type="spellStart"/>
            <w:r w:rsidRPr="0071231A">
              <w:t>Relevanca</w:t>
            </w:r>
            <w:proofErr w:type="spellEnd"/>
            <w:r w:rsidRPr="0071231A">
              <w:t xml:space="preserve"> e projektit me kërkesat e thirrjes</w:t>
            </w:r>
          </w:p>
          <w:p w14:paraId="356C2580" w14:textId="77777777" w:rsidR="0039111B" w:rsidRPr="0071231A" w:rsidRDefault="0039111B" w:rsidP="0039111B">
            <w:pPr>
              <w:pStyle w:val="ListParagraph"/>
              <w:numPr>
                <w:ilvl w:val="0"/>
                <w:numId w:val="13"/>
              </w:numPr>
              <w:spacing w:after="200" w:line="276" w:lineRule="auto"/>
            </w:pPr>
            <w:r w:rsidRPr="0071231A">
              <w:t>Kapaciteti për zbatim të propozimit/projektit</w:t>
            </w:r>
          </w:p>
          <w:p w14:paraId="43DBAA2E" w14:textId="22682137" w:rsidR="0039111B" w:rsidRPr="0071231A" w:rsidRDefault="0039111B" w:rsidP="00AC0868">
            <w:pPr>
              <w:pStyle w:val="ListParagraph"/>
              <w:numPr>
                <w:ilvl w:val="0"/>
                <w:numId w:val="13"/>
              </w:numPr>
              <w:spacing w:after="200" w:line="276" w:lineRule="auto"/>
            </w:pPr>
            <w:proofErr w:type="spellStart"/>
            <w:r w:rsidRPr="0071231A">
              <w:t>Arsyeshmëria</w:t>
            </w:r>
            <w:proofErr w:type="spellEnd"/>
            <w:r w:rsidRPr="0071231A">
              <w:t xml:space="preserve"> e buxhetit.</w:t>
            </w:r>
          </w:p>
        </w:tc>
      </w:tr>
      <w:tr w:rsidR="00AD78F1" w:rsidRPr="0071231A" w14:paraId="0A247136" w14:textId="77777777" w:rsidTr="00AE30E1">
        <w:tc>
          <w:tcPr>
            <w:tcW w:w="498" w:type="dxa"/>
          </w:tcPr>
          <w:p w14:paraId="73AE5675" w14:textId="3FAF6708" w:rsidR="00AD78F1" w:rsidRPr="0071231A" w:rsidRDefault="00F82ABC" w:rsidP="00AD78F1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864" w:type="dxa"/>
            <w:shd w:val="clear" w:color="auto" w:fill="auto"/>
          </w:tcPr>
          <w:p w14:paraId="0237C895" w14:textId="77777777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Periudha e zbatimit</w:t>
            </w:r>
          </w:p>
        </w:tc>
        <w:tc>
          <w:tcPr>
            <w:tcW w:w="5988" w:type="dxa"/>
            <w:shd w:val="clear" w:color="auto" w:fill="auto"/>
          </w:tcPr>
          <w:p w14:paraId="503E8941" w14:textId="602649DC" w:rsidR="00FF3D44" w:rsidRPr="0071231A" w:rsidRDefault="00AA2D4F" w:rsidP="00FA67A1">
            <w:pPr>
              <w:spacing w:after="200" w:line="276" w:lineRule="auto"/>
              <w:ind w:left="720"/>
            </w:pPr>
            <w:r w:rsidRPr="0071231A">
              <w:t xml:space="preserve">Deri në </w:t>
            </w:r>
            <w:r w:rsidR="002D6253" w:rsidRPr="0071231A">
              <w:t>1</w:t>
            </w:r>
            <w:r w:rsidR="00FA67A1">
              <w:t>0</w:t>
            </w:r>
            <w:bookmarkStart w:id="0" w:name="_GoBack"/>
            <w:bookmarkEnd w:id="0"/>
            <w:r w:rsidR="002D6253" w:rsidRPr="0071231A">
              <w:t xml:space="preserve"> Muaj</w:t>
            </w:r>
          </w:p>
        </w:tc>
      </w:tr>
      <w:tr w:rsidR="00AD78F1" w:rsidRPr="0071231A" w14:paraId="5DBF7E9C" w14:textId="77777777" w:rsidTr="00AE30E1">
        <w:tc>
          <w:tcPr>
            <w:tcW w:w="498" w:type="dxa"/>
          </w:tcPr>
          <w:p w14:paraId="3317DBFE" w14:textId="471071AD" w:rsidR="00AD78F1" w:rsidRPr="0071231A" w:rsidRDefault="00AD78F1" w:rsidP="00FF3D44">
            <w:pPr>
              <w:rPr>
                <w:b/>
              </w:rPr>
            </w:pPr>
            <w:r w:rsidRPr="0071231A">
              <w:rPr>
                <w:b/>
              </w:rPr>
              <w:t>1</w:t>
            </w:r>
            <w:r w:rsidR="00F82ABC">
              <w:rPr>
                <w:b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14:paraId="355F5BAB" w14:textId="77777777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Partneriteti</w:t>
            </w:r>
          </w:p>
        </w:tc>
        <w:tc>
          <w:tcPr>
            <w:tcW w:w="5988" w:type="dxa"/>
            <w:shd w:val="clear" w:color="auto" w:fill="auto"/>
          </w:tcPr>
          <w:p w14:paraId="264C7209" w14:textId="5A970FF9" w:rsidR="00AD78F1" w:rsidRPr="0071231A" w:rsidRDefault="0090017D" w:rsidP="00C319B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proofErr w:type="spellStart"/>
            <w:r>
              <w:t>Aplikuesit</w:t>
            </w:r>
            <w:proofErr w:type="spellEnd"/>
            <w:r>
              <w:t xml:space="preserve"> për </w:t>
            </w:r>
            <w:proofErr w:type="spellStart"/>
            <w:r>
              <w:t>grante</w:t>
            </w:r>
            <w:proofErr w:type="spellEnd"/>
            <w:r>
              <w:t xml:space="preserve"> të mëdha duhet të kenë së paku një partner tjetër që bart një pjesë të aktiviteteve dhe përgjegjësive të projektit.</w:t>
            </w:r>
          </w:p>
        </w:tc>
      </w:tr>
      <w:tr w:rsidR="00AD78F1" w:rsidRPr="0071231A" w14:paraId="449133FB" w14:textId="77777777" w:rsidTr="00AE30E1">
        <w:tc>
          <w:tcPr>
            <w:tcW w:w="498" w:type="dxa"/>
          </w:tcPr>
          <w:p w14:paraId="29949902" w14:textId="5CE5D688" w:rsidR="00AD78F1" w:rsidRPr="0071231A" w:rsidRDefault="00AD78F1" w:rsidP="00FF3D44">
            <w:pPr>
              <w:rPr>
                <w:b/>
              </w:rPr>
            </w:pPr>
            <w:r w:rsidRPr="0071231A">
              <w:rPr>
                <w:b/>
              </w:rPr>
              <w:t>1</w:t>
            </w:r>
            <w:r w:rsidR="00FF3D44" w:rsidRPr="0071231A">
              <w:rPr>
                <w:b/>
              </w:rPr>
              <w:t>4</w:t>
            </w:r>
            <w:r w:rsidR="00F82ABC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44BEA11E" w14:textId="77777777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 xml:space="preserve">Si të aplikohet? Dokumentet e nevojshme </w:t>
            </w:r>
          </w:p>
        </w:tc>
        <w:tc>
          <w:tcPr>
            <w:tcW w:w="5988" w:type="dxa"/>
            <w:shd w:val="clear" w:color="auto" w:fill="auto"/>
          </w:tcPr>
          <w:p w14:paraId="4F6DEDC8" w14:textId="13C106B8" w:rsidR="007F3A9A" w:rsidRDefault="007F3A9A" w:rsidP="007F3A9A">
            <w:pPr>
              <w:spacing w:after="200" w:line="276" w:lineRule="auto"/>
            </w:pPr>
            <w:r>
              <w:t xml:space="preserve">Të gjitha aplikimet duhet të bëhen në formë elektronike. </w:t>
            </w:r>
          </w:p>
          <w:p w14:paraId="4957752C" w14:textId="09CAC3B6" w:rsidR="00F52C5E" w:rsidRPr="0071231A" w:rsidRDefault="00F52C5E" w:rsidP="009A6E70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 w:rsidRPr="0071231A">
              <w:t xml:space="preserve">Koncept Propozimi </w:t>
            </w:r>
            <w:r w:rsidR="00360CD0" w:rsidRPr="0071231A">
              <w:t>+</w:t>
            </w:r>
            <w:r w:rsidR="00D3602E">
              <w:t xml:space="preserve"> </w:t>
            </w:r>
            <w:r w:rsidR="00360CD0" w:rsidRPr="0071231A">
              <w:t>CV</w:t>
            </w:r>
            <w:r w:rsidR="00D3602E">
              <w:t>-të</w:t>
            </w:r>
            <w:r w:rsidR="00360CD0" w:rsidRPr="0071231A">
              <w:t xml:space="preserve"> </w:t>
            </w:r>
            <w:r w:rsidRPr="0071231A">
              <w:t xml:space="preserve">(për </w:t>
            </w:r>
            <w:proofErr w:type="spellStart"/>
            <w:r w:rsidRPr="0071231A">
              <w:t>mikro</w:t>
            </w:r>
            <w:proofErr w:type="spellEnd"/>
            <w:r w:rsidRPr="0071231A">
              <w:t xml:space="preserve"> </w:t>
            </w:r>
            <w:proofErr w:type="spellStart"/>
            <w:r w:rsidRPr="0071231A">
              <w:t>grantet</w:t>
            </w:r>
            <w:proofErr w:type="spellEnd"/>
            <w:r w:rsidRPr="0071231A">
              <w:t xml:space="preserve">, </w:t>
            </w:r>
            <w:proofErr w:type="spellStart"/>
            <w:r w:rsidRPr="0071231A">
              <w:t>grantet</w:t>
            </w:r>
            <w:proofErr w:type="spellEnd"/>
            <w:r w:rsidRPr="0071231A">
              <w:t xml:space="preserve"> e vogla dhe të mesme)</w:t>
            </w:r>
          </w:p>
          <w:p w14:paraId="1BFE5377" w14:textId="2416B558" w:rsidR="00F52C5E" w:rsidRDefault="00F52C5E" w:rsidP="00FA20CF">
            <w:pPr>
              <w:pStyle w:val="ListParagraph"/>
              <w:numPr>
                <w:ilvl w:val="0"/>
                <w:numId w:val="10"/>
              </w:numPr>
              <w:spacing w:after="200" w:line="276" w:lineRule="auto"/>
            </w:pPr>
            <w:r w:rsidRPr="0071231A">
              <w:t xml:space="preserve">Forma e </w:t>
            </w:r>
            <w:r w:rsidR="00D3602E">
              <w:t xml:space="preserve">plotë </w:t>
            </w:r>
            <w:r w:rsidRPr="0071231A">
              <w:t xml:space="preserve">aplikimit </w:t>
            </w:r>
            <w:r w:rsidR="00360CD0" w:rsidRPr="0071231A">
              <w:t xml:space="preserve">dhe </w:t>
            </w:r>
            <w:r w:rsidR="00D3602E">
              <w:t xml:space="preserve">draft </w:t>
            </w:r>
            <w:r w:rsidR="00360CD0" w:rsidRPr="0071231A">
              <w:t xml:space="preserve">buxheti </w:t>
            </w:r>
            <w:r w:rsidRPr="0071231A">
              <w:t xml:space="preserve">(për </w:t>
            </w:r>
            <w:proofErr w:type="spellStart"/>
            <w:r w:rsidRPr="0071231A">
              <w:t>grantet</w:t>
            </w:r>
            <w:proofErr w:type="spellEnd"/>
            <w:r w:rsidRPr="0071231A">
              <w:t xml:space="preserve"> e mëdha)</w:t>
            </w:r>
            <w:r w:rsidR="00360CD0" w:rsidRPr="0071231A">
              <w:t xml:space="preserve"> + CV</w:t>
            </w:r>
            <w:r w:rsidR="00D3602E">
              <w:t>-të</w:t>
            </w:r>
          </w:p>
          <w:p w14:paraId="74DC9656" w14:textId="308E5ED0" w:rsidR="00D3602E" w:rsidRPr="0071231A" w:rsidRDefault="00D3602E" w:rsidP="009A6E70">
            <w:pPr>
              <w:spacing w:after="200" w:line="276" w:lineRule="auto"/>
              <w:jc w:val="both"/>
            </w:pPr>
            <w:r>
              <w:t xml:space="preserve">Thirrjet publike, dokumentet për aplikim si dhe të gjitha informatat tjera, përfshirë afatin për aplikim do të publikohen në </w:t>
            </w:r>
            <w:proofErr w:type="spellStart"/>
            <w:r>
              <w:t>webfaqen</w:t>
            </w:r>
            <w:proofErr w:type="spellEnd"/>
            <w:r>
              <w:t xml:space="preserve"> </w:t>
            </w:r>
            <w:hyperlink r:id="rId6" w:history="1">
              <w:r w:rsidRPr="00F66498">
                <w:rPr>
                  <w:rStyle w:val="Hyperlink"/>
                </w:rPr>
                <w:t>www.kksh.org</w:t>
              </w:r>
            </w:hyperlink>
            <w:r>
              <w:t xml:space="preserve"> </w:t>
            </w:r>
          </w:p>
          <w:p w14:paraId="5A59DD72" w14:textId="4A2BDB5B" w:rsidR="007F3A9A" w:rsidRPr="0071231A" w:rsidRDefault="008B3BF8" w:rsidP="007F3A9A">
            <w:pPr>
              <w:spacing w:after="200" w:line="276" w:lineRule="auto"/>
            </w:pPr>
            <w:r>
              <w:t xml:space="preserve">Për informata dhe aplikim </w:t>
            </w:r>
            <w:proofErr w:type="spellStart"/>
            <w:r>
              <w:t>email</w:t>
            </w:r>
            <w:r w:rsidR="009A6E70">
              <w:t>i</w:t>
            </w:r>
            <w:proofErr w:type="spellEnd"/>
            <w:r>
              <w:t xml:space="preserve"> </w:t>
            </w:r>
            <w:hyperlink r:id="rId7" w:history="1">
              <w:r w:rsidRPr="00F66498">
                <w:rPr>
                  <w:rStyle w:val="Hyperlink"/>
                </w:rPr>
                <w:t>kksh.lugina@outlook.com</w:t>
              </w:r>
            </w:hyperlink>
            <w:r w:rsidR="00D47BD9">
              <w:t xml:space="preserve"> </w:t>
            </w:r>
          </w:p>
        </w:tc>
      </w:tr>
      <w:tr w:rsidR="00AD78F1" w:rsidRPr="0071231A" w14:paraId="0B44A477" w14:textId="77777777" w:rsidTr="00AE30E1">
        <w:tc>
          <w:tcPr>
            <w:tcW w:w="498" w:type="dxa"/>
          </w:tcPr>
          <w:p w14:paraId="11840EA9" w14:textId="786413B1" w:rsidR="00AD78F1" w:rsidRPr="0071231A" w:rsidRDefault="00AD78F1" w:rsidP="00FF3D44">
            <w:pPr>
              <w:rPr>
                <w:b/>
              </w:rPr>
            </w:pPr>
            <w:r w:rsidRPr="0071231A">
              <w:rPr>
                <w:b/>
              </w:rPr>
              <w:t>1</w:t>
            </w:r>
            <w:r w:rsidR="00FF3D44" w:rsidRPr="0071231A">
              <w:rPr>
                <w:b/>
              </w:rPr>
              <w:t>5</w:t>
            </w:r>
            <w:r w:rsidR="00F82ABC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12332125" w14:textId="77777777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Shpenzimet e pranueshme</w:t>
            </w:r>
          </w:p>
        </w:tc>
        <w:tc>
          <w:tcPr>
            <w:tcW w:w="5988" w:type="dxa"/>
            <w:shd w:val="clear" w:color="auto" w:fill="auto"/>
          </w:tcPr>
          <w:p w14:paraId="3F40474A" w14:textId="0F68AB53" w:rsidR="006864CB" w:rsidRPr="0071231A" w:rsidRDefault="006864CB" w:rsidP="006864CB">
            <w:pPr>
              <w:spacing w:after="200" w:line="276" w:lineRule="auto"/>
            </w:pPr>
            <w:r w:rsidRPr="0071231A">
              <w:t>Shpenzimet e pranueshme përfshijnë:</w:t>
            </w:r>
          </w:p>
          <w:p w14:paraId="4F556EBB" w14:textId="2510B334" w:rsidR="008C4592" w:rsidRPr="0071231A" w:rsidRDefault="008C4592" w:rsidP="006864CB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Organizimi i trajnimeve (në mënyrë të veçantë duhet të identifikohet lloji dhe çmimi i secilit shërbim)</w:t>
            </w:r>
            <w:r w:rsidR="007E09C7" w:rsidRPr="0071231A">
              <w:t>;</w:t>
            </w:r>
          </w:p>
          <w:p w14:paraId="1B85DF84" w14:textId="7D2DE82C" w:rsidR="008C4592" w:rsidRPr="0071231A" w:rsidRDefault="00115ABA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M</w:t>
            </w:r>
            <w:r w:rsidR="008C4592" w:rsidRPr="0071231A">
              <w:t>aterial</w:t>
            </w:r>
            <w:r w:rsidR="00F2190E">
              <w:t>et</w:t>
            </w:r>
            <w:r w:rsidR="008C4592" w:rsidRPr="0071231A">
              <w:t xml:space="preserve"> shpenzues</w:t>
            </w:r>
            <w:r w:rsidR="00F2190E">
              <w:t>e</w:t>
            </w:r>
            <w:r w:rsidR="008C4592" w:rsidRPr="0071231A">
              <w:t>;</w:t>
            </w:r>
          </w:p>
          <w:p w14:paraId="79DC8DC9" w14:textId="1E7CB96D" w:rsidR="008C4592" w:rsidRPr="0071231A" w:rsidRDefault="00F2190E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>
              <w:t xml:space="preserve">Kostot e </w:t>
            </w:r>
            <w:r w:rsidR="008C4592" w:rsidRPr="0071231A">
              <w:t>përfaqësimit që kanë të bëjnë me organizimin aktiviteteve të projektit</w:t>
            </w:r>
            <w:r>
              <w:t xml:space="preserve"> </w:t>
            </w:r>
            <w:r w:rsidR="008C4592" w:rsidRPr="0071231A">
              <w:t>(duke treguar qëllimin dhe numrin e</w:t>
            </w:r>
            <w:r w:rsidR="00871B15">
              <w:t xml:space="preserve"> pritshëm të pjesëmarrësve)</w:t>
            </w:r>
            <w:r w:rsidR="008C4592" w:rsidRPr="0071231A">
              <w:t>;</w:t>
            </w:r>
          </w:p>
          <w:p w14:paraId="1D385920" w14:textId="647849A2" w:rsidR="008C4592" w:rsidRPr="0071231A" w:rsidRDefault="008C4592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 xml:space="preserve">Shpenzimet e pagave dhe pagesave për menaxherët e projektit/programit, të </w:t>
            </w:r>
            <w:r w:rsidR="00F2190E">
              <w:t xml:space="preserve">konsulentëve </w:t>
            </w:r>
            <w:r w:rsidRPr="0071231A">
              <w:t xml:space="preserve">të projektit nga </w:t>
            </w:r>
            <w:r w:rsidRPr="0071231A">
              <w:lastRenderedPageBreak/>
              <w:t>organizatat dhe/ose partnerët e jashtëm të përfshirë në projekt (kontratat e të drejtave të autorit dhe të drejtave pronësore, kontratat tjera, kontratat e punësimit), duke specifikuar emrin e persona</w:t>
            </w:r>
            <w:r w:rsidR="00F2190E">
              <w:t xml:space="preserve">ve të angazhuar, kompetencat e </w:t>
            </w:r>
            <w:r w:rsidRPr="0071231A">
              <w:t xml:space="preserve">tyre profesionale, numrin e </w:t>
            </w:r>
            <w:r w:rsidR="00F2190E">
              <w:t xml:space="preserve">ditëve ose </w:t>
            </w:r>
            <w:r w:rsidRPr="0071231A">
              <w:t xml:space="preserve">muajve të angazhimit dhe shumën </w:t>
            </w:r>
            <w:r w:rsidR="00F2190E">
              <w:t>ditore/</w:t>
            </w:r>
            <w:r w:rsidRPr="0071231A">
              <w:t>mujore bruto të kompensimit;</w:t>
            </w:r>
          </w:p>
          <w:p w14:paraId="15BFD2E8" w14:textId="1DD3B965" w:rsidR="008C4592" w:rsidRPr="0071231A" w:rsidRDefault="008C4592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 xml:space="preserve">Shpenzimet e komunikimit (shpenzimet e telefonit, internetit, </w:t>
            </w:r>
            <w:r w:rsidR="00385C14">
              <w:t xml:space="preserve">transportit </w:t>
            </w:r>
            <w:r w:rsidRPr="0071231A">
              <w:t>etj</w:t>
            </w:r>
            <w:r w:rsidR="00385C14">
              <w:t>.</w:t>
            </w:r>
            <w:r w:rsidRPr="0071231A">
              <w:t xml:space="preserve">) këto shpenzime duhet të jenë të </w:t>
            </w:r>
            <w:r w:rsidR="00385C14">
              <w:t xml:space="preserve">para </w:t>
            </w:r>
            <w:r w:rsidRPr="0071231A">
              <w:t>përcaktuara;</w:t>
            </w:r>
          </w:p>
          <w:p w14:paraId="7B0ABD2F" w14:textId="70DA6572" w:rsidR="008C4592" w:rsidRPr="0071231A" w:rsidRDefault="00115ABA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K</w:t>
            </w:r>
            <w:r w:rsidR="008C4592" w:rsidRPr="0071231A">
              <w:t>ostoja për prokurimin e pajisjeve të nevojshme për zbatimin e projektit/programit, i cili duhet të jetë i përcaktuar nga lloji dhe shuma;</w:t>
            </w:r>
          </w:p>
          <w:p w14:paraId="6608A909" w14:textId="0535DBAA" w:rsidR="008C4592" w:rsidRPr="0071231A" w:rsidRDefault="00115ABA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S</w:t>
            </w:r>
            <w:r w:rsidR="008C4592" w:rsidRPr="0071231A">
              <w:t>hpenzimet e udhëtimit</w:t>
            </w:r>
            <w:r w:rsidR="00385C14">
              <w:t xml:space="preserve"> jashtë vendit</w:t>
            </w:r>
            <w:r w:rsidR="008C4592" w:rsidRPr="0071231A">
              <w:t>;</w:t>
            </w:r>
          </w:p>
          <w:p w14:paraId="7549ACF0" w14:textId="26CFF1E4" w:rsidR="008C4592" w:rsidRPr="0071231A" w:rsidRDefault="008C4592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 xml:space="preserve">Shpenzimet për transportin dhe akomodimin (aty ku është e nevojshme duke e specifikuar numrin e njerëzve, </w:t>
            </w:r>
            <w:proofErr w:type="spellStart"/>
            <w:r w:rsidRPr="0071231A">
              <w:t>destin</w:t>
            </w:r>
            <w:r w:rsidR="00385C14">
              <w:t>imin</w:t>
            </w:r>
            <w:proofErr w:type="spellEnd"/>
            <w:r w:rsidRPr="0071231A">
              <w:t>,</w:t>
            </w:r>
            <w:r w:rsidR="00385C14">
              <w:t xml:space="preserve"> </w:t>
            </w:r>
            <w:r w:rsidRPr="0071231A">
              <w:t>shpeshtësinë dhe qëllimin e udhëtimit dhe llojin e transportit publik, llojin e akomodimit dhe numrin e netëve);</w:t>
            </w:r>
          </w:p>
          <w:p w14:paraId="267C57E5" w14:textId="40BA5E48" w:rsidR="00AD78F1" w:rsidRPr="0071231A" w:rsidRDefault="00115ABA" w:rsidP="009266DA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K</w:t>
            </w:r>
            <w:r w:rsidR="008C4592" w:rsidRPr="0071231A">
              <w:t>osto të tjera që lidhen drejtpërdrejt me zbatimin e aktiviteteve të projektit;</w:t>
            </w:r>
          </w:p>
        </w:tc>
      </w:tr>
      <w:tr w:rsidR="00AD78F1" w:rsidRPr="0071231A" w14:paraId="17C02BE6" w14:textId="77777777" w:rsidTr="00AE30E1">
        <w:tc>
          <w:tcPr>
            <w:tcW w:w="498" w:type="dxa"/>
          </w:tcPr>
          <w:p w14:paraId="63662C84" w14:textId="325469E8" w:rsidR="00AD78F1" w:rsidRPr="0071231A" w:rsidRDefault="00AD78F1" w:rsidP="00FF3D44">
            <w:pPr>
              <w:rPr>
                <w:b/>
              </w:rPr>
            </w:pPr>
            <w:r w:rsidRPr="0071231A">
              <w:rPr>
                <w:b/>
              </w:rPr>
              <w:lastRenderedPageBreak/>
              <w:t>1</w:t>
            </w:r>
            <w:r w:rsidR="00FF3D44" w:rsidRPr="0071231A">
              <w:rPr>
                <w:b/>
              </w:rPr>
              <w:t>6</w:t>
            </w:r>
            <w:r w:rsidR="00F82ABC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61C6A223" w14:textId="77777777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Shpenzimet e papranueshme</w:t>
            </w:r>
          </w:p>
        </w:tc>
        <w:tc>
          <w:tcPr>
            <w:tcW w:w="5988" w:type="dxa"/>
            <w:shd w:val="clear" w:color="auto" w:fill="auto"/>
          </w:tcPr>
          <w:p w14:paraId="1C46FEEB" w14:textId="77777777" w:rsidR="007E09C7" w:rsidRPr="0071231A" w:rsidRDefault="007E09C7" w:rsidP="007E09C7">
            <w:pPr>
              <w:spacing w:after="200" w:line="276" w:lineRule="auto"/>
            </w:pPr>
            <w:r w:rsidRPr="0071231A">
              <w:t>Shpenzimet e pa-pranueshme përfshijnë:</w:t>
            </w:r>
          </w:p>
          <w:p w14:paraId="6AAE4DEB" w14:textId="5D8150E8" w:rsidR="008C4592" w:rsidRPr="0071231A" w:rsidRDefault="00115ABA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I</w:t>
            </w:r>
            <w:r w:rsidR="008C4592" w:rsidRPr="0071231A">
              <w:t>nvestimet në kapital</w:t>
            </w:r>
            <w:r w:rsidR="001452D8" w:rsidRPr="0071231A">
              <w:t xml:space="preserve">, </w:t>
            </w:r>
            <w:proofErr w:type="spellStart"/>
            <w:r w:rsidR="001452D8" w:rsidRPr="0071231A">
              <w:t>infrasktruturë</w:t>
            </w:r>
            <w:proofErr w:type="spellEnd"/>
            <w:r w:rsidR="008C4592" w:rsidRPr="0071231A">
              <w:t xml:space="preserve"> apo kredi për investime, fonde të garancisë;</w:t>
            </w:r>
          </w:p>
          <w:p w14:paraId="6A5B0F7E" w14:textId="19E1F8FC" w:rsidR="00DD7CFE" w:rsidRPr="0071231A" w:rsidRDefault="00DD7CFE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Vetura dhe gjeneratorë</w:t>
            </w:r>
          </w:p>
          <w:p w14:paraId="3BF01453" w14:textId="77777777" w:rsidR="007E09C7" w:rsidRPr="0071231A" w:rsidRDefault="007E09C7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Blerja e patundshmërive</w:t>
            </w:r>
          </w:p>
          <w:p w14:paraId="70424682" w14:textId="77777777" w:rsidR="008C4592" w:rsidRPr="0071231A" w:rsidRDefault="008C4592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Shpenzimet e interesit për borxhin;</w:t>
            </w:r>
          </w:p>
          <w:p w14:paraId="3997EA07" w14:textId="33958267" w:rsidR="008C4592" w:rsidRPr="0071231A" w:rsidRDefault="00115ABA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G</w:t>
            </w:r>
            <w:r w:rsidR="008C4592" w:rsidRPr="0071231A">
              <w:t>jobat</w:t>
            </w:r>
            <w:r w:rsidR="008C7A7A">
              <w:t xml:space="preserve"> në trafik</w:t>
            </w:r>
            <w:r w:rsidR="008C4592" w:rsidRPr="0071231A">
              <w:t>,</w:t>
            </w:r>
            <w:r w:rsidR="008C7A7A">
              <w:t xml:space="preserve"> </w:t>
            </w:r>
            <w:r w:rsidR="008C4592" w:rsidRPr="0071231A">
              <w:t>ndëshkimet financiare dhe shpenzimet e procedurave gjyqësore;</w:t>
            </w:r>
          </w:p>
          <w:p w14:paraId="13F9F1AD" w14:textId="4DBC685F" w:rsidR="008C4592" w:rsidRPr="0071231A" w:rsidRDefault="00115ABA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P</w:t>
            </w:r>
            <w:r w:rsidR="008C4592" w:rsidRPr="0071231A">
              <w:t xml:space="preserve">agesa e </w:t>
            </w:r>
            <w:proofErr w:type="spellStart"/>
            <w:r w:rsidR="008C4592" w:rsidRPr="0071231A">
              <w:t>bonuse</w:t>
            </w:r>
            <w:r w:rsidR="008C7A7A">
              <w:t>ve</w:t>
            </w:r>
            <w:proofErr w:type="spellEnd"/>
            <w:r w:rsidR="008C7A7A">
              <w:t xml:space="preserve"> </w:t>
            </w:r>
            <w:r w:rsidR="008C4592" w:rsidRPr="0071231A">
              <w:t>për punonjësit;</w:t>
            </w:r>
          </w:p>
          <w:p w14:paraId="3AD5A643" w14:textId="77777777" w:rsidR="008C4592" w:rsidRPr="0071231A" w:rsidRDefault="008C4592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Kostot që tashmë janë të financuara nga burime publike apo shpenzime në periudhën e projektit të financuar nga burime të tjera;</w:t>
            </w:r>
          </w:p>
          <w:p w14:paraId="31582EBC" w14:textId="419A69B5" w:rsidR="008C4592" w:rsidRPr="0071231A" w:rsidRDefault="00115ABA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B</w:t>
            </w:r>
            <w:r w:rsidR="008C4592" w:rsidRPr="0071231A">
              <w:t xml:space="preserve">lerja e pajisjeve të përdorura, makineri dhe </w:t>
            </w:r>
            <w:proofErr w:type="spellStart"/>
            <w:r w:rsidR="008C4592" w:rsidRPr="0071231A">
              <w:t>mobilje</w:t>
            </w:r>
            <w:proofErr w:type="spellEnd"/>
            <w:r w:rsidR="008C4592" w:rsidRPr="0071231A">
              <w:t>;</w:t>
            </w:r>
          </w:p>
          <w:p w14:paraId="36CAE205" w14:textId="36180620" w:rsidR="008C4592" w:rsidRPr="0071231A" w:rsidRDefault="00115ABA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D</w:t>
            </w:r>
            <w:r w:rsidR="008C4592" w:rsidRPr="0071231A">
              <w:t>onacionet bamirëse;</w:t>
            </w:r>
          </w:p>
          <w:p w14:paraId="204DBD2C" w14:textId="52AFB86A" w:rsidR="008C4592" w:rsidRPr="0071231A" w:rsidRDefault="00115ABA" w:rsidP="008C459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K</w:t>
            </w:r>
            <w:r w:rsidR="008C4592" w:rsidRPr="0071231A">
              <w:t>redi për organizata të tjera apo individ;</w:t>
            </w:r>
          </w:p>
          <w:p w14:paraId="615F1547" w14:textId="31B788D2" w:rsidR="00063630" w:rsidRPr="0071231A" w:rsidRDefault="00115ABA" w:rsidP="008A74B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71231A">
              <w:t>K</w:t>
            </w:r>
            <w:r w:rsidR="008C4592" w:rsidRPr="0071231A">
              <w:t>ostot e tjera që nuk janë të lidhura direkt me përmbajtjen dhe objektivat e projektit; </w:t>
            </w:r>
          </w:p>
        </w:tc>
      </w:tr>
      <w:tr w:rsidR="00AD78F1" w:rsidRPr="0071231A" w14:paraId="49B24EA9" w14:textId="77777777" w:rsidTr="00AE30E1">
        <w:trPr>
          <w:trHeight w:val="1754"/>
        </w:trPr>
        <w:tc>
          <w:tcPr>
            <w:tcW w:w="498" w:type="dxa"/>
          </w:tcPr>
          <w:p w14:paraId="14495A44" w14:textId="0D2A2910" w:rsidR="00AD78F1" w:rsidRPr="0071231A" w:rsidRDefault="00AD78F1" w:rsidP="00FF3D44">
            <w:pPr>
              <w:rPr>
                <w:b/>
              </w:rPr>
            </w:pPr>
            <w:r w:rsidRPr="0071231A">
              <w:rPr>
                <w:b/>
              </w:rPr>
              <w:lastRenderedPageBreak/>
              <w:t>1</w:t>
            </w:r>
            <w:r w:rsidR="008A74BC">
              <w:rPr>
                <w:b/>
              </w:rPr>
              <w:t>7</w:t>
            </w:r>
            <w:r w:rsidR="00F82ABC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5D18ADB4" w14:textId="77777777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Kontrolli Administrativ</w:t>
            </w:r>
          </w:p>
        </w:tc>
        <w:tc>
          <w:tcPr>
            <w:tcW w:w="5988" w:type="dxa"/>
            <w:shd w:val="clear" w:color="auto" w:fill="auto"/>
          </w:tcPr>
          <w:p w14:paraId="097626E0" w14:textId="77777777" w:rsidR="00063630" w:rsidRDefault="0031612A" w:rsidP="00115ABA">
            <w:pPr>
              <w:spacing w:after="200" w:line="276" w:lineRule="auto"/>
            </w:pPr>
            <w:r w:rsidRPr="0071231A">
              <w:t>Të gjitha aplikacionet do ti nënsh</w:t>
            </w:r>
            <w:r w:rsidR="00D345BB" w:rsidRPr="0071231A">
              <w:t>trohen kontrollit administrativ</w:t>
            </w:r>
            <w:r w:rsidRPr="0071231A">
              <w:t xml:space="preserve"> paraprakisht </w:t>
            </w:r>
            <w:r w:rsidR="00115ABA" w:rsidRPr="0071231A">
              <w:t xml:space="preserve">nëse </w:t>
            </w:r>
            <w:r w:rsidRPr="0071231A">
              <w:t>dokument</w:t>
            </w:r>
            <w:r w:rsidR="00115ABA" w:rsidRPr="0071231A">
              <w:t xml:space="preserve">acioni është plotësuar </w:t>
            </w:r>
            <w:r w:rsidRPr="0071231A">
              <w:t xml:space="preserve">dhe më pas dërgohen tek komisioni për vlerësime. </w:t>
            </w:r>
          </w:p>
          <w:p w14:paraId="16CCCBC7" w14:textId="13A16E8F" w:rsidR="00AD78F1" w:rsidRPr="0071231A" w:rsidRDefault="0031612A" w:rsidP="00063630">
            <w:pPr>
              <w:spacing w:after="200" w:line="276" w:lineRule="auto"/>
            </w:pPr>
            <w:r w:rsidRPr="0071231A">
              <w:t>Në</w:t>
            </w:r>
            <w:r w:rsidR="00115ABA" w:rsidRPr="0071231A">
              <w:t xml:space="preserve"> </w:t>
            </w:r>
            <w:r w:rsidRPr="0071231A">
              <w:t>mungesë të dokumenteve</w:t>
            </w:r>
            <w:r w:rsidR="00115ABA" w:rsidRPr="0071231A">
              <w:t>, mund të ofrohet afat</w:t>
            </w:r>
            <w:r w:rsidRPr="0071231A">
              <w:t xml:space="preserve"> </w:t>
            </w:r>
            <w:r w:rsidR="00115ABA" w:rsidRPr="0071231A">
              <w:t xml:space="preserve">shtesë </w:t>
            </w:r>
            <w:r w:rsidR="00063630">
              <w:t xml:space="preserve">48h </w:t>
            </w:r>
            <w:r w:rsidRPr="0071231A">
              <w:t xml:space="preserve">për plotësim të dokumentacionit. </w:t>
            </w:r>
          </w:p>
        </w:tc>
      </w:tr>
      <w:tr w:rsidR="00AD78F1" w:rsidRPr="0071231A" w14:paraId="658B4F9F" w14:textId="77777777" w:rsidTr="00AE30E1">
        <w:tc>
          <w:tcPr>
            <w:tcW w:w="498" w:type="dxa"/>
          </w:tcPr>
          <w:p w14:paraId="58807A2B" w14:textId="3B3EA7D5" w:rsidR="00AD78F1" w:rsidRPr="0071231A" w:rsidRDefault="008A74BC" w:rsidP="00AD78F1">
            <w:pPr>
              <w:rPr>
                <w:b/>
              </w:rPr>
            </w:pPr>
            <w:r>
              <w:rPr>
                <w:b/>
              </w:rPr>
              <w:t>18</w:t>
            </w:r>
            <w:r w:rsidR="00F82ABC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53DB961E" w14:textId="77777777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Procesi i përzgjedhjes dhe sistemi i ankesave</w:t>
            </w:r>
          </w:p>
        </w:tc>
        <w:tc>
          <w:tcPr>
            <w:tcW w:w="5988" w:type="dxa"/>
            <w:shd w:val="clear" w:color="auto" w:fill="auto"/>
          </w:tcPr>
          <w:p w14:paraId="2A1AD637" w14:textId="12D7DF5F" w:rsidR="0004000C" w:rsidRPr="0071231A" w:rsidRDefault="0004000C" w:rsidP="0004000C">
            <w:pPr>
              <w:spacing w:after="0" w:line="240" w:lineRule="auto"/>
              <w:jc w:val="both"/>
            </w:pPr>
            <w:r w:rsidRPr="0071231A">
              <w:t>Qeveria e Kosovës themelo</w:t>
            </w:r>
            <w:r w:rsidR="00115ABA" w:rsidRPr="0071231A">
              <w:t>n</w:t>
            </w:r>
            <w:r w:rsidRPr="0071231A">
              <w:t xml:space="preserve"> një komision vlerësues të përbërë nga 3 anëtarë (2 nga </w:t>
            </w:r>
            <w:r w:rsidR="00115ABA" w:rsidRPr="0071231A">
              <w:t>L</w:t>
            </w:r>
            <w:r w:rsidRPr="0071231A">
              <w:t xml:space="preserve">ugina dhe 1 nga </w:t>
            </w:r>
            <w:r w:rsidR="00115ABA" w:rsidRPr="0071231A">
              <w:t>Q</w:t>
            </w:r>
            <w:r w:rsidRPr="0071231A">
              <w:t>everia – persona me integritet, përvojë dhe ekspert të jashtëm) që kan</w:t>
            </w:r>
            <w:r w:rsidR="00115ABA" w:rsidRPr="0071231A">
              <w:t>ë</w:t>
            </w:r>
            <w:r w:rsidRPr="0071231A">
              <w:t xml:space="preserve"> për d</w:t>
            </w:r>
            <w:r w:rsidR="00FA01EA" w:rsidRPr="0071231A">
              <w:t>etyrë të vlerësojnë projekt propozimet</w:t>
            </w:r>
            <w:r w:rsidRPr="0071231A">
              <w:t xml:space="preserve">. </w:t>
            </w:r>
          </w:p>
          <w:p w14:paraId="6298C33C" w14:textId="77777777" w:rsidR="0004000C" w:rsidRPr="0071231A" w:rsidRDefault="0004000C" w:rsidP="0004000C">
            <w:pPr>
              <w:spacing w:after="0" w:line="240" w:lineRule="auto"/>
              <w:jc w:val="both"/>
            </w:pPr>
          </w:p>
          <w:p w14:paraId="1986CB09" w14:textId="04720F5E" w:rsidR="0004000C" w:rsidRDefault="00E119DB" w:rsidP="0004000C">
            <w:pPr>
              <w:spacing w:after="0" w:line="240" w:lineRule="auto"/>
              <w:jc w:val="both"/>
            </w:pPr>
            <w:r w:rsidRPr="0071231A">
              <w:t xml:space="preserve">Personeli i </w:t>
            </w:r>
            <w:r w:rsidR="0004000C" w:rsidRPr="0071231A">
              <w:t xml:space="preserve">dedikuar </w:t>
            </w:r>
            <w:r w:rsidR="008A74BC">
              <w:t>nga K</w:t>
            </w:r>
            <w:r w:rsidRPr="0071231A">
              <w:t>KSH i k</w:t>
            </w:r>
            <w:r w:rsidR="0004000C" w:rsidRPr="0071231A">
              <w:t>ontrollo</w:t>
            </w:r>
            <w:r w:rsidR="00115ABA" w:rsidRPr="0071231A">
              <w:t>n</w:t>
            </w:r>
            <w:r w:rsidR="0004000C" w:rsidRPr="0071231A">
              <w:t xml:space="preserve"> aplikacionet nëse plotësojnë kushtet formale të thirrjes publike (kontrolli administrative). Pas kontrollimit të gjitha aplikacioneve të pranuara, komisioni përgati</w:t>
            </w:r>
            <w:r w:rsidR="00115ABA" w:rsidRPr="0071231A">
              <w:t>t</w:t>
            </w:r>
            <w:r w:rsidR="0004000C" w:rsidRPr="0071231A">
              <w:t xml:space="preserve"> një listë të </w:t>
            </w:r>
            <w:proofErr w:type="spellStart"/>
            <w:r w:rsidR="0004000C" w:rsidRPr="0071231A">
              <w:t>të</w:t>
            </w:r>
            <w:proofErr w:type="spellEnd"/>
            <w:r w:rsidR="0004000C" w:rsidRPr="0071231A">
              <w:t xml:space="preserve"> gjitha </w:t>
            </w:r>
            <w:proofErr w:type="spellStart"/>
            <w:r w:rsidR="0004000C" w:rsidRPr="0071231A">
              <w:t>aplikantëve</w:t>
            </w:r>
            <w:proofErr w:type="spellEnd"/>
            <w:r w:rsidR="0004000C" w:rsidRPr="0071231A">
              <w:t xml:space="preserve"> që plotësojnë kushtet për tu vlerësuar përmbajtja e projekteve të tyre, dhe një listë të </w:t>
            </w:r>
            <w:proofErr w:type="spellStart"/>
            <w:r w:rsidR="0004000C" w:rsidRPr="0071231A">
              <w:t>aplikantëve</w:t>
            </w:r>
            <w:proofErr w:type="spellEnd"/>
            <w:r w:rsidR="0004000C" w:rsidRPr="0071231A">
              <w:t xml:space="preserve"> të cilët nuk i plotësojnë kushtet e përcaktuara </w:t>
            </w:r>
            <w:r w:rsidR="007F3A9A">
              <w:t>me thirrje publike.</w:t>
            </w:r>
          </w:p>
          <w:p w14:paraId="6DB9594A" w14:textId="77777777" w:rsidR="008A74BC" w:rsidRPr="0071231A" w:rsidRDefault="008A74BC" w:rsidP="0004000C">
            <w:pPr>
              <w:spacing w:after="0" w:line="240" w:lineRule="auto"/>
              <w:jc w:val="both"/>
            </w:pPr>
          </w:p>
          <w:p w14:paraId="6327E3DF" w14:textId="26C42FE3" w:rsidR="0004000C" w:rsidRPr="0071231A" w:rsidRDefault="002A628B" w:rsidP="0004000C">
            <w:pPr>
              <w:spacing w:after="0" w:line="240" w:lineRule="auto"/>
              <w:jc w:val="both"/>
            </w:pPr>
            <w:r w:rsidRPr="0071231A">
              <w:t xml:space="preserve">KKSH </w:t>
            </w:r>
            <w:r w:rsidR="0004000C" w:rsidRPr="0071231A">
              <w:t>njofto</w:t>
            </w:r>
            <w:r w:rsidR="00115ABA" w:rsidRPr="0071231A">
              <w:t>n</w:t>
            </w:r>
            <w:r w:rsidR="0004000C" w:rsidRPr="0071231A">
              <w:t xml:space="preserve"> me shkrim</w:t>
            </w:r>
            <w:r w:rsidR="008A74BC">
              <w:t xml:space="preserve"> (e</w:t>
            </w:r>
            <w:r w:rsidR="007F3A9A">
              <w:t>-</w:t>
            </w:r>
            <w:proofErr w:type="spellStart"/>
            <w:r w:rsidR="008A74BC">
              <w:t>mail</w:t>
            </w:r>
            <w:proofErr w:type="spellEnd"/>
            <w:r w:rsidR="008A74BC">
              <w:t xml:space="preserve">) </w:t>
            </w:r>
            <w:r w:rsidR="0004000C" w:rsidRPr="0071231A">
              <w:t xml:space="preserve">të gjithë </w:t>
            </w:r>
            <w:proofErr w:type="spellStart"/>
            <w:r w:rsidR="0004000C" w:rsidRPr="0071231A">
              <w:t>aplikantët</w:t>
            </w:r>
            <w:proofErr w:type="spellEnd"/>
            <w:r w:rsidR="0004000C" w:rsidRPr="0071231A">
              <w:t xml:space="preserve"> të cilët nuk i plotësojnë kërkesat dhe arsyet e refuzimit të aplikimit të tyre.</w:t>
            </w:r>
          </w:p>
          <w:p w14:paraId="0C5DC66B" w14:textId="77777777" w:rsidR="0004000C" w:rsidRPr="0071231A" w:rsidRDefault="0004000C" w:rsidP="0004000C">
            <w:pPr>
              <w:spacing w:after="0" w:line="240" w:lineRule="auto"/>
              <w:jc w:val="both"/>
            </w:pPr>
            <w:r w:rsidRPr="0071231A">
              <w:t> </w:t>
            </w:r>
          </w:p>
          <w:p w14:paraId="0491B9A3" w14:textId="082EDA84" w:rsidR="00AD78F1" w:rsidRPr="0071231A" w:rsidRDefault="0004000C" w:rsidP="001117BF">
            <w:pPr>
              <w:spacing w:after="0" w:line="240" w:lineRule="auto"/>
              <w:jc w:val="both"/>
            </w:pPr>
            <w:r w:rsidRPr="0071231A">
              <w:t xml:space="preserve">Në fazën e dytë do të bëhet vlerësimi i përmbajtjes së aplikimeve </w:t>
            </w:r>
            <w:r w:rsidR="001117BF">
              <w:t>nga ana e Komisionit vlerësues</w:t>
            </w:r>
            <w:r w:rsidRPr="0071231A">
              <w:t>. Çdo aplikacion i pranuar do të vlerësohet në bazë të formularit të vlerësimit dhe kritereve paraprakisht të caktuara.</w:t>
            </w:r>
          </w:p>
        </w:tc>
      </w:tr>
      <w:tr w:rsidR="008A74BC" w:rsidRPr="0071231A" w14:paraId="1CFC3824" w14:textId="77777777" w:rsidTr="00AE30E1">
        <w:tc>
          <w:tcPr>
            <w:tcW w:w="498" w:type="dxa"/>
          </w:tcPr>
          <w:p w14:paraId="2B65F7D8" w14:textId="0881A20B" w:rsidR="008A74BC" w:rsidRPr="0071231A" w:rsidRDefault="001117BF" w:rsidP="008A74BC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864" w:type="dxa"/>
            <w:shd w:val="clear" w:color="auto" w:fill="auto"/>
          </w:tcPr>
          <w:p w14:paraId="01E1D2F1" w14:textId="527CFB63" w:rsidR="008A74BC" w:rsidRPr="0071231A" w:rsidRDefault="008A74BC" w:rsidP="008A74BC">
            <w:pPr>
              <w:rPr>
                <w:b/>
              </w:rPr>
            </w:pPr>
            <w:r w:rsidRPr="0071231A">
              <w:rPr>
                <w:b/>
              </w:rPr>
              <w:t xml:space="preserve">Kalendari </w:t>
            </w:r>
            <w:proofErr w:type="spellStart"/>
            <w:r w:rsidRPr="0071231A">
              <w:rPr>
                <w:b/>
              </w:rPr>
              <w:t>tentativ</w:t>
            </w:r>
            <w:proofErr w:type="spellEnd"/>
            <w:r w:rsidRPr="0071231A">
              <w:rPr>
                <w:b/>
              </w:rPr>
              <w:t xml:space="preserve"> </w:t>
            </w:r>
          </w:p>
        </w:tc>
        <w:tc>
          <w:tcPr>
            <w:tcW w:w="5988" w:type="dxa"/>
            <w:shd w:val="clear" w:color="auto" w:fill="auto"/>
          </w:tcPr>
          <w:p w14:paraId="1FC4E4BA" w14:textId="77777777" w:rsidR="008A74BC" w:rsidRPr="00063630" w:rsidRDefault="008A74BC" w:rsidP="008A74B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063630">
              <w:t>Nënshkrimi i Memorandumit</w:t>
            </w:r>
            <w:r>
              <w:t xml:space="preserve">, </w:t>
            </w:r>
            <w:r w:rsidRPr="00063630">
              <w:t>28 tetor, 2022</w:t>
            </w:r>
          </w:p>
          <w:p w14:paraId="5F876C4A" w14:textId="77777777" w:rsidR="008A74BC" w:rsidRPr="00063630" w:rsidRDefault="008A74BC" w:rsidP="008A74B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063630">
              <w:t>Shpallja e thirrjes publike</w:t>
            </w:r>
            <w:r>
              <w:t>, 1 - 15 nëntor, 2022</w:t>
            </w:r>
          </w:p>
          <w:p w14:paraId="69523FFA" w14:textId="77777777" w:rsidR="008A74BC" w:rsidRPr="00063630" w:rsidRDefault="008A74BC" w:rsidP="008A74B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063630">
              <w:t xml:space="preserve">Afati </w:t>
            </w:r>
            <w:r>
              <w:t>i</w:t>
            </w:r>
            <w:r w:rsidRPr="00063630">
              <w:t xml:space="preserve"> fundit per aplikim – </w:t>
            </w:r>
            <w:r>
              <w:t xml:space="preserve"> 18 </w:t>
            </w:r>
            <w:r w:rsidRPr="00063630">
              <w:t xml:space="preserve">nëntor, 2022 </w:t>
            </w:r>
          </w:p>
          <w:p w14:paraId="136D45A5" w14:textId="77777777" w:rsidR="008A74BC" w:rsidRDefault="008A74BC" w:rsidP="008A74B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 w:rsidRPr="00063630">
              <w:t xml:space="preserve">Vlerësimi </w:t>
            </w:r>
            <w:r>
              <w:t>20 nëntor – 10 dhjetor</w:t>
            </w:r>
            <w:r w:rsidRPr="00063630">
              <w:t>, 2022</w:t>
            </w:r>
          </w:p>
          <w:p w14:paraId="62158D07" w14:textId="77777777" w:rsidR="008A74BC" w:rsidRDefault="008A74BC" w:rsidP="008A74B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>
              <w:t>Kontratat e para, 15-20 dhjetor, 2022</w:t>
            </w:r>
          </w:p>
          <w:p w14:paraId="4F66273D" w14:textId="6FD02752" w:rsidR="008A74BC" w:rsidRPr="0071231A" w:rsidRDefault="008A74BC" w:rsidP="001117B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893"/>
            </w:pPr>
            <w:r>
              <w:t>Fillimi i zbatimit të projekteve 1 janar, 2023</w:t>
            </w:r>
          </w:p>
        </w:tc>
      </w:tr>
      <w:tr w:rsidR="00AD78F1" w:rsidRPr="0071231A" w14:paraId="244B5664" w14:textId="77777777" w:rsidTr="00AE30E1">
        <w:tc>
          <w:tcPr>
            <w:tcW w:w="498" w:type="dxa"/>
          </w:tcPr>
          <w:p w14:paraId="2C7A6373" w14:textId="7D1A4A3E" w:rsidR="00AD78F1" w:rsidRPr="0071231A" w:rsidRDefault="00FF3D44" w:rsidP="00AD78F1">
            <w:pPr>
              <w:rPr>
                <w:b/>
              </w:rPr>
            </w:pPr>
            <w:r w:rsidRPr="0071231A">
              <w:rPr>
                <w:b/>
              </w:rPr>
              <w:t>20</w:t>
            </w:r>
            <w:r w:rsidR="00F82ABC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6E4600B3" w14:textId="77777777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Kontraktimi</w:t>
            </w:r>
          </w:p>
        </w:tc>
        <w:tc>
          <w:tcPr>
            <w:tcW w:w="5988" w:type="dxa"/>
            <w:shd w:val="clear" w:color="auto" w:fill="auto"/>
          </w:tcPr>
          <w:p w14:paraId="0E95CFA3" w14:textId="1155AAF2" w:rsidR="00AD78F1" w:rsidRPr="0071231A" w:rsidRDefault="001117BF" w:rsidP="006D015D">
            <w:pPr>
              <w:spacing w:after="200" w:line="276" w:lineRule="auto"/>
              <w:ind w:left="720"/>
            </w:pPr>
            <w:r>
              <w:t xml:space="preserve">Kontrata për </w:t>
            </w:r>
            <w:proofErr w:type="spellStart"/>
            <w:r>
              <w:t>grant</w:t>
            </w:r>
            <w:proofErr w:type="spellEnd"/>
            <w:r>
              <w:t xml:space="preserve"> mes përfituesve dhe Këshillit</w:t>
            </w:r>
          </w:p>
        </w:tc>
      </w:tr>
      <w:tr w:rsidR="00AD78F1" w:rsidRPr="0071231A" w14:paraId="65C1025B" w14:textId="77777777" w:rsidTr="00AE30E1">
        <w:tc>
          <w:tcPr>
            <w:tcW w:w="498" w:type="dxa"/>
          </w:tcPr>
          <w:p w14:paraId="793DFA50" w14:textId="749F3112" w:rsidR="00AD78F1" w:rsidRPr="0071231A" w:rsidRDefault="00FF3D44" w:rsidP="00AD78F1">
            <w:pPr>
              <w:rPr>
                <w:b/>
              </w:rPr>
            </w:pPr>
            <w:r w:rsidRPr="0071231A">
              <w:rPr>
                <w:b/>
              </w:rPr>
              <w:t>21</w:t>
            </w:r>
            <w:r w:rsidR="00F82ABC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59B8D3E9" w14:textId="41139F20" w:rsidR="00AD78F1" w:rsidRPr="0071231A" w:rsidRDefault="00AD78F1" w:rsidP="00AD78F1">
            <w:pPr>
              <w:rPr>
                <w:b/>
              </w:rPr>
            </w:pPr>
            <w:r w:rsidRPr="0071231A">
              <w:rPr>
                <w:b/>
              </w:rPr>
              <w:t>Zbatimi, r</w:t>
            </w:r>
            <w:r w:rsidR="001223A4" w:rsidRPr="0071231A">
              <w:rPr>
                <w:b/>
              </w:rPr>
              <w:t>aportimi, monitorimi</w:t>
            </w:r>
          </w:p>
        </w:tc>
        <w:tc>
          <w:tcPr>
            <w:tcW w:w="5988" w:type="dxa"/>
            <w:shd w:val="clear" w:color="auto" w:fill="auto"/>
          </w:tcPr>
          <w:p w14:paraId="32312DB2" w14:textId="77777777" w:rsidR="00AD407E" w:rsidRDefault="001223A4" w:rsidP="00AD407E">
            <w:pPr>
              <w:spacing w:after="200" w:line="276" w:lineRule="auto"/>
              <w:ind w:left="720"/>
            </w:pPr>
            <w:r w:rsidRPr="0071231A">
              <w:t xml:space="preserve">KKSH do të nënshkruaj kontrata </w:t>
            </w:r>
            <w:proofErr w:type="spellStart"/>
            <w:r w:rsidRPr="0071231A">
              <w:t>granti</w:t>
            </w:r>
            <w:proofErr w:type="spellEnd"/>
            <w:r w:rsidRPr="0071231A">
              <w:t xml:space="preserve"> me të gjithë përfituesit. KKSH do të kërkoj me kontrata raportim nga përfituesit dhe do të </w:t>
            </w:r>
            <w:r w:rsidR="00AD407E" w:rsidRPr="0071231A">
              <w:t>monitoroj</w:t>
            </w:r>
            <w:r w:rsidRPr="0071231A">
              <w:t xml:space="preserve"> zbatimin e tyre</w:t>
            </w:r>
            <w:r w:rsidR="00AD407E">
              <w:t xml:space="preserve"> si nga përmbajtja ashtu edhe nga rregullsia financiare</w:t>
            </w:r>
            <w:r w:rsidRPr="0071231A">
              <w:t>.</w:t>
            </w:r>
            <w:r w:rsidR="00AD407E">
              <w:t xml:space="preserve"> </w:t>
            </w:r>
          </w:p>
          <w:p w14:paraId="22A66D6F" w14:textId="23B2D790" w:rsidR="00AD78F1" w:rsidRPr="0071231A" w:rsidRDefault="001223A4" w:rsidP="00AD407E">
            <w:pPr>
              <w:spacing w:after="200" w:line="276" w:lineRule="auto"/>
              <w:ind w:left="720"/>
            </w:pPr>
            <w:r w:rsidRPr="0071231A">
              <w:t xml:space="preserve">KKSH është </w:t>
            </w:r>
            <w:r w:rsidR="00AD407E" w:rsidRPr="0071231A">
              <w:t>përgjegjës</w:t>
            </w:r>
            <w:r w:rsidRPr="0071231A">
              <w:t xml:space="preserve"> edhe për të bërë promovimin e rezultateve të këtyre projekteve dhe të asistoj në përgatitjen e vizitave zyrtare në vendet e projekteve nga Qeveria e Kosovës.</w:t>
            </w:r>
          </w:p>
        </w:tc>
      </w:tr>
      <w:tr w:rsidR="001223A4" w:rsidRPr="0071231A" w14:paraId="50B1B415" w14:textId="77777777" w:rsidTr="00AE30E1">
        <w:tc>
          <w:tcPr>
            <w:tcW w:w="498" w:type="dxa"/>
          </w:tcPr>
          <w:p w14:paraId="47901D13" w14:textId="1A2A65D2" w:rsidR="001223A4" w:rsidRPr="0071231A" w:rsidRDefault="001223A4" w:rsidP="00AD78F1">
            <w:pPr>
              <w:rPr>
                <w:b/>
              </w:rPr>
            </w:pPr>
            <w:r w:rsidRPr="0071231A">
              <w:rPr>
                <w:b/>
              </w:rPr>
              <w:lastRenderedPageBreak/>
              <w:t>22</w:t>
            </w:r>
            <w:r w:rsidR="00F82ABC">
              <w:rPr>
                <w:b/>
              </w:rPr>
              <w:t>.</w:t>
            </w:r>
          </w:p>
        </w:tc>
        <w:tc>
          <w:tcPr>
            <w:tcW w:w="2864" w:type="dxa"/>
            <w:shd w:val="clear" w:color="auto" w:fill="auto"/>
          </w:tcPr>
          <w:p w14:paraId="7EB8384B" w14:textId="3ED53019" w:rsidR="001223A4" w:rsidRPr="0071231A" w:rsidRDefault="001223A4" w:rsidP="00AD78F1">
            <w:pPr>
              <w:rPr>
                <w:b/>
              </w:rPr>
            </w:pPr>
            <w:proofErr w:type="spellStart"/>
            <w:r w:rsidRPr="0071231A">
              <w:rPr>
                <w:b/>
              </w:rPr>
              <w:t>Auditi</w:t>
            </w:r>
            <w:proofErr w:type="spellEnd"/>
            <w:r w:rsidRPr="0071231A">
              <w:rPr>
                <w:b/>
              </w:rPr>
              <w:t xml:space="preserve"> dhe raportimi</w:t>
            </w:r>
          </w:p>
        </w:tc>
        <w:tc>
          <w:tcPr>
            <w:tcW w:w="5988" w:type="dxa"/>
            <w:shd w:val="clear" w:color="auto" w:fill="auto"/>
          </w:tcPr>
          <w:p w14:paraId="05CCA524" w14:textId="77777777" w:rsidR="00A14234" w:rsidRDefault="00AD407E" w:rsidP="006D015D">
            <w:pPr>
              <w:spacing w:after="200" w:line="276" w:lineRule="auto"/>
              <w:ind w:left="720"/>
            </w:pPr>
            <w:r>
              <w:t xml:space="preserve">Të gjithë përfituesit e </w:t>
            </w:r>
            <w:proofErr w:type="spellStart"/>
            <w:r>
              <w:t>granteve</w:t>
            </w:r>
            <w:proofErr w:type="spellEnd"/>
            <w:r>
              <w:t xml:space="preserve"> duhet të dërgojnë raport narrativ e financiar te këshilli</w:t>
            </w:r>
            <w:r w:rsidR="00A14234">
              <w:t>.</w:t>
            </w:r>
          </w:p>
          <w:p w14:paraId="3CB39A6E" w14:textId="16E80D87" w:rsidR="001223A4" w:rsidRPr="0071231A" w:rsidRDefault="00257A33" w:rsidP="006D015D">
            <w:pPr>
              <w:spacing w:after="200" w:line="276" w:lineRule="auto"/>
              <w:ind w:left="720"/>
            </w:pPr>
            <w:r w:rsidRPr="0071231A">
              <w:t xml:space="preserve">Projektet e mëdha </w:t>
            </w:r>
            <w:r w:rsidR="00AD407E">
              <w:t xml:space="preserve">(mbi 50,000 EUR) </w:t>
            </w:r>
            <w:r w:rsidRPr="0071231A">
              <w:t xml:space="preserve">do të duhet të </w:t>
            </w:r>
            <w:proofErr w:type="spellStart"/>
            <w:r w:rsidRPr="0071231A">
              <w:t>auditohen</w:t>
            </w:r>
            <w:proofErr w:type="spellEnd"/>
            <w:r w:rsidRPr="0071231A">
              <w:t xml:space="preserve"> nga auditor të jashtëm</w:t>
            </w:r>
            <w:r w:rsidR="00AD407E">
              <w:t xml:space="preserve"> dhe në fund të projektit së bashku me raportin final të dorëzohet raporti i </w:t>
            </w:r>
            <w:proofErr w:type="spellStart"/>
            <w:r w:rsidR="00AD407E">
              <w:t>auditit</w:t>
            </w:r>
            <w:proofErr w:type="spellEnd"/>
            <w:r w:rsidR="00AD407E">
              <w:t xml:space="preserve"> te Këshilli</w:t>
            </w:r>
            <w:r w:rsidRPr="0071231A">
              <w:t xml:space="preserve">. </w:t>
            </w:r>
          </w:p>
          <w:p w14:paraId="7C547FA4" w14:textId="7AEB8D49" w:rsidR="00257A33" w:rsidRPr="0071231A" w:rsidRDefault="00257A33" w:rsidP="00DD1242">
            <w:pPr>
              <w:spacing w:after="200" w:line="276" w:lineRule="auto"/>
              <w:ind w:left="720"/>
            </w:pPr>
            <w:r w:rsidRPr="0071231A">
              <w:t>KKSH është përgjegjës për ti raportuar Qeverisë së Kosovës, përmes raporteve të rregullta 3 mujore.</w:t>
            </w:r>
            <w:r w:rsidR="005068B7" w:rsidRPr="0071231A">
              <w:t xml:space="preserve"> Si dhe, pas 1 viti të zbatimit të projektit </w:t>
            </w:r>
            <w:r w:rsidR="000257A8">
              <w:t xml:space="preserve">( 1 nëntor 2022 – 31 tetor 2023) </w:t>
            </w:r>
            <w:r w:rsidR="005068B7" w:rsidRPr="0071231A">
              <w:t>K</w:t>
            </w:r>
            <w:r w:rsidR="000257A8">
              <w:t>K</w:t>
            </w:r>
            <w:r w:rsidR="005068B7" w:rsidRPr="0071231A">
              <w:t xml:space="preserve">SH obligohet të dorëzoj raporti vjetor </w:t>
            </w:r>
            <w:r w:rsidR="000257A8">
              <w:t xml:space="preserve">narrativ e financiar që përfshin të shpenzimet </w:t>
            </w:r>
            <w:proofErr w:type="spellStart"/>
            <w:r w:rsidR="000257A8">
              <w:t>operacionale</w:t>
            </w:r>
            <w:proofErr w:type="spellEnd"/>
            <w:r w:rsidR="000257A8">
              <w:t xml:space="preserve"> si dhe përkrahjen për palët e treta përmes </w:t>
            </w:r>
            <w:proofErr w:type="spellStart"/>
            <w:r w:rsidR="000257A8">
              <w:t>granteve</w:t>
            </w:r>
            <w:proofErr w:type="spellEnd"/>
            <w:r w:rsidR="000257A8">
              <w:t xml:space="preserve">, me theks në </w:t>
            </w:r>
            <w:r w:rsidR="00DD1242">
              <w:t xml:space="preserve">çështjet e adresuara dhe </w:t>
            </w:r>
            <w:r w:rsidR="005068B7" w:rsidRPr="0071231A">
              <w:t>rezultatet e arritura.</w:t>
            </w:r>
          </w:p>
        </w:tc>
      </w:tr>
    </w:tbl>
    <w:p w14:paraId="38843E64" w14:textId="5138500B" w:rsidR="00CA6065" w:rsidRPr="0071231A" w:rsidRDefault="00CA6065" w:rsidP="005F6642">
      <w:pPr>
        <w:jc w:val="center"/>
        <w:rPr>
          <w:b/>
          <w:sz w:val="28"/>
          <w:u w:val="single"/>
        </w:rPr>
      </w:pPr>
    </w:p>
    <w:p w14:paraId="445A5A4B" w14:textId="77777777" w:rsidR="00A00D29" w:rsidRPr="0071231A" w:rsidRDefault="00A00D29"/>
    <w:sectPr w:rsidR="00A00D29" w:rsidRPr="00712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E15"/>
    <w:multiLevelType w:val="hybridMultilevel"/>
    <w:tmpl w:val="48BCA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D6263"/>
    <w:multiLevelType w:val="hybridMultilevel"/>
    <w:tmpl w:val="65947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534EDD"/>
    <w:multiLevelType w:val="hybridMultilevel"/>
    <w:tmpl w:val="6832D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A95A6B"/>
    <w:multiLevelType w:val="hybridMultilevel"/>
    <w:tmpl w:val="F0EC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533F8"/>
    <w:multiLevelType w:val="hybridMultilevel"/>
    <w:tmpl w:val="E6701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84AFF"/>
    <w:multiLevelType w:val="hybridMultilevel"/>
    <w:tmpl w:val="B2D2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A0247"/>
    <w:multiLevelType w:val="hybridMultilevel"/>
    <w:tmpl w:val="85848D4C"/>
    <w:lvl w:ilvl="0" w:tplc="05CA794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F07BFC"/>
    <w:multiLevelType w:val="hybridMultilevel"/>
    <w:tmpl w:val="842E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D6BF8"/>
    <w:multiLevelType w:val="hybridMultilevel"/>
    <w:tmpl w:val="D5304C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877845"/>
    <w:multiLevelType w:val="hybridMultilevel"/>
    <w:tmpl w:val="4AF635A0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DF1737"/>
    <w:multiLevelType w:val="hybridMultilevel"/>
    <w:tmpl w:val="9CB69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B02E1B"/>
    <w:multiLevelType w:val="hybridMultilevel"/>
    <w:tmpl w:val="1D9676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65348A"/>
    <w:multiLevelType w:val="hybridMultilevel"/>
    <w:tmpl w:val="E6701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00568"/>
    <w:multiLevelType w:val="hybridMultilevel"/>
    <w:tmpl w:val="E3D8730C"/>
    <w:lvl w:ilvl="0" w:tplc="041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4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D8"/>
    <w:rsid w:val="000257A8"/>
    <w:rsid w:val="0004000C"/>
    <w:rsid w:val="00063630"/>
    <w:rsid w:val="0007281F"/>
    <w:rsid w:val="0007651E"/>
    <w:rsid w:val="00082201"/>
    <w:rsid w:val="000A1EF6"/>
    <w:rsid w:val="000A5A34"/>
    <w:rsid w:val="001117BF"/>
    <w:rsid w:val="00113BA8"/>
    <w:rsid w:val="00115ABA"/>
    <w:rsid w:val="001223A4"/>
    <w:rsid w:val="001452D8"/>
    <w:rsid w:val="0015537F"/>
    <w:rsid w:val="00196353"/>
    <w:rsid w:val="001F3328"/>
    <w:rsid w:val="001F7CA4"/>
    <w:rsid w:val="00213351"/>
    <w:rsid w:val="00257A33"/>
    <w:rsid w:val="002A628B"/>
    <w:rsid w:val="002B3A72"/>
    <w:rsid w:val="002D6253"/>
    <w:rsid w:val="002E2FB3"/>
    <w:rsid w:val="002E5CC6"/>
    <w:rsid w:val="003074E3"/>
    <w:rsid w:val="0031612A"/>
    <w:rsid w:val="00360CD0"/>
    <w:rsid w:val="00362CD3"/>
    <w:rsid w:val="00385C14"/>
    <w:rsid w:val="0039111B"/>
    <w:rsid w:val="004018BB"/>
    <w:rsid w:val="004260F3"/>
    <w:rsid w:val="004616D7"/>
    <w:rsid w:val="004803D8"/>
    <w:rsid w:val="004E5AFD"/>
    <w:rsid w:val="004E7469"/>
    <w:rsid w:val="0050139C"/>
    <w:rsid w:val="005068B7"/>
    <w:rsid w:val="00514651"/>
    <w:rsid w:val="00523171"/>
    <w:rsid w:val="00535E96"/>
    <w:rsid w:val="00540412"/>
    <w:rsid w:val="005703E7"/>
    <w:rsid w:val="00582F15"/>
    <w:rsid w:val="0059709D"/>
    <w:rsid w:val="005A1733"/>
    <w:rsid w:val="005B68AC"/>
    <w:rsid w:val="005F6642"/>
    <w:rsid w:val="006864CB"/>
    <w:rsid w:val="00691EDF"/>
    <w:rsid w:val="006D015D"/>
    <w:rsid w:val="0071231A"/>
    <w:rsid w:val="00717796"/>
    <w:rsid w:val="00725BB1"/>
    <w:rsid w:val="007B2FAE"/>
    <w:rsid w:val="007E09C7"/>
    <w:rsid w:val="007F3A9A"/>
    <w:rsid w:val="008500CF"/>
    <w:rsid w:val="00862B70"/>
    <w:rsid w:val="00871B15"/>
    <w:rsid w:val="008A74BC"/>
    <w:rsid w:val="008B17D8"/>
    <w:rsid w:val="008B3BF8"/>
    <w:rsid w:val="008B5C12"/>
    <w:rsid w:val="008C4592"/>
    <w:rsid w:val="008C7A7A"/>
    <w:rsid w:val="008D5A24"/>
    <w:rsid w:val="0090017D"/>
    <w:rsid w:val="009266DA"/>
    <w:rsid w:val="009A6E70"/>
    <w:rsid w:val="00A00D29"/>
    <w:rsid w:val="00A14234"/>
    <w:rsid w:val="00A30325"/>
    <w:rsid w:val="00AA24EB"/>
    <w:rsid w:val="00AA2D4F"/>
    <w:rsid w:val="00AC0868"/>
    <w:rsid w:val="00AD3AC0"/>
    <w:rsid w:val="00AD407E"/>
    <w:rsid w:val="00AD78F1"/>
    <w:rsid w:val="00AE30E1"/>
    <w:rsid w:val="00B43F06"/>
    <w:rsid w:val="00B65669"/>
    <w:rsid w:val="00BC75FC"/>
    <w:rsid w:val="00BF0790"/>
    <w:rsid w:val="00C1631A"/>
    <w:rsid w:val="00C319B1"/>
    <w:rsid w:val="00C36F92"/>
    <w:rsid w:val="00C91CCF"/>
    <w:rsid w:val="00C96FCC"/>
    <w:rsid w:val="00CA6065"/>
    <w:rsid w:val="00CD2137"/>
    <w:rsid w:val="00CE3D16"/>
    <w:rsid w:val="00D345BB"/>
    <w:rsid w:val="00D3602E"/>
    <w:rsid w:val="00D47BD9"/>
    <w:rsid w:val="00D50FE1"/>
    <w:rsid w:val="00D73548"/>
    <w:rsid w:val="00D8044B"/>
    <w:rsid w:val="00DA71AC"/>
    <w:rsid w:val="00DC745F"/>
    <w:rsid w:val="00DD1242"/>
    <w:rsid w:val="00DD7CFE"/>
    <w:rsid w:val="00DF7364"/>
    <w:rsid w:val="00E119DB"/>
    <w:rsid w:val="00E578FB"/>
    <w:rsid w:val="00EC2610"/>
    <w:rsid w:val="00EC7A29"/>
    <w:rsid w:val="00F1457B"/>
    <w:rsid w:val="00F2190E"/>
    <w:rsid w:val="00F50300"/>
    <w:rsid w:val="00F52C5E"/>
    <w:rsid w:val="00F82ABC"/>
    <w:rsid w:val="00FA01EA"/>
    <w:rsid w:val="00FA20CF"/>
    <w:rsid w:val="00FA67A1"/>
    <w:rsid w:val="00FE6939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CB0D"/>
  <w15:chartTrackingRefBased/>
  <w15:docId w15:val="{2077818E-3688-4CCA-BBDA-C85290EE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E5A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2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D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7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ksh.lugina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ks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23813-BB0A-4507-91BF-53B0B81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30</cp:revision>
  <dcterms:created xsi:type="dcterms:W3CDTF">2022-10-26T14:54:00Z</dcterms:created>
  <dcterms:modified xsi:type="dcterms:W3CDTF">2022-11-10T11:06:00Z</dcterms:modified>
</cp:coreProperties>
</file>